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</w:p>
    <w:p w:rsidR="00050677" w:rsidRPr="00050677" w:rsidRDefault="00050677" w:rsidP="00050677">
      <w:pPr>
        <w:widowControl/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Adres strony internetowej, na której zamieszczona będzie specyfikacja istotnych warunków zamówienia (jeżeli dotyczy): </w:t>
      </w:r>
      <w:r w:rsidR="00ED7483">
        <w:rPr>
          <w:rFonts w:eastAsia="Times New Roman" w:cs="Times New Roman"/>
          <w:kern w:val="0"/>
          <w:lang w:eastAsia="pl-PL" w:bidi="ar-SA"/>
        </w:rPr>
        <w:t>bip.miastopuck.pl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bookmarkStart w:id="0" w:name="_GoBack"/>
      <w:bookmarkEnd w:id="0"/>
    </w:p>
    <w:p w:rsidR="00050677" w:rsidRPr="00050677" w:rsidRDefault="00F90ABA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pict>
          <v:rect id="_x0000_i1025" style="width:0;height:1.5pt" o:hralign="center" o:hrstd="t" o:hr="t" fillcolor="#a0a0a0" stroked="f"/>
        </w:pic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Ogłoszenie nr 325611 - 2016 z dnia 2016-10-18 r. </w:t>
      </w:r>
    </w:p>
    <w:p w:rsidR="00050677" w:rsidRPr="00050677" w:rsidRDefault="00050677" w:rsidP="00050677">
      <w:pPr>
        <w:widowControl/>
        <w:suppressAutoHyphens w:val="0"/>
        <w:jc w:val="center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>Puck: Modernizacja budynków komunalnych - budynek ul. Nowa 4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OGŁOSZENIE O ZAMÓWIENIU -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>Zamieszczanie ogłoszenia:</w:t>
      </w:r>
      <w:r w:rsidRPr="00050677">
        <w:rPr>
          <w:rFonts w:eastAsia="Times New Roman" w:cs="Times New Roman"/>
          <w:kern w:val="0"/>
          <w:lang w:eastAsia="pl-PL" w:bidi="ar-SA"/>
        </w:rPr>
        <w:t xml:space="preserve"> obowiązkowe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>Ogłoszenie dotyczy:</w:t>
      </w:r>
      <w:r w:rsidRPr="00050677">
        <w:rPr>
          <w:rFonts w:eastAsia="Times New Roman" w:cs="Times New Roman"/>
          <w:kern w:val="0"/>
          <w:lang w:eastAsia="pl-PL" w:bidi="ar-SA"/>
        </w:rPr>
        <w:t xml:space="preserve"> zamówienia publicznego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Zamówienie dotyczy projektu lub programu współfinansowanego ze środków Unii Europejskiej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Nazwa projektu lub programu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50677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050677">
        <w:rPr>
          <w:rFonts w:eastAsia="Times New Roman" w:cs="Times New Roman"/>
          <w:kern w:val="0"/>
          <w:lang w:eastAsia="pl-PL" w:bidi="ar-SA"/>
        </w:rPr>
        <w:t xml:space="preserve">, nie mniejszy niż 30%, osób zatrudnionych przez zakłady pracy chronionej lub wykonawców albo ich jednostki (w %)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u w:val="single"/>
          <w:lang w:eastAsia="pl-PL" w:bidi="ar-SA"/>
        </w:rPr>
        <w:t>SEKCJA I: ZAMAWIAJĄCY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Postępowanie przeprowadza centralny zamawiający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Postępowanie przeprowadza podmiot, któremu zamawiający powierzył/powierzyli przeprowadzenie postępowania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>Informacje na temat podmiotu któremu zamawiający powierzył/powierzyli prowadzenie postępowania: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Postępowanie jest przeprowadzane wspólnie przez zamawiających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Postępowanie jest przeprowadzane wspólnie z zamawiającymi z innych państw członkowskich Unii Europejskiej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>W przypadku przeprowadzania postępowania wspólnie z zamawiającymi z innych państw członkowskich Unii Europejskiej – mające zastosowanie krajowe prawo zamówień publicznych: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Informacje dodatkowe:</w:t>
      </w:r>
    </w:p>
    <w:p w:rsidR="00050677" w:rsidRPr="00050677" w:rsidRDefault="00050677" w:rsidP="00050677">
      <w:pPr>
        <w:widowControl/>
        <w:suppressAutoHyphens w:val="0"/>
        <w:spacing w:after="24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I. 1) NAZWA I ADRES: </w:t>
      </w:r>
      <w:r w:rsidRPr="00050677">
        <w:rPr>
          <w:rFonts w:eastAsia="Times New Roman" w:cs="Times New Roman"/>
          <w:kern w:val="0"/>
          <w:lang w:eastAsia="pl-PL" w:bidi="ar-SA"/>
        </w:rPr>
        <w:t xml:space="preserve">Gmina Miasta Puck, krajowy numer identyfikacyjny 52624500000, ul. ul. 1 Maja  13, 84100   Puck, woj. pomorskie, państwo Polska, tel. 58 6730500, 6730534, e-mail , faks 586 730 533.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Adres strony internetowej (URL):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lastRenderedPageBreak/>
        <w:t xml:space="preserve">I. 2) RODZAJ ZAMAWIAJĄCEGO: </w:t>
      </w:r>
      <w:r w:rsidRPr="00050677">
        <w:rPr>
          <w:rFonts w:eastAsia="Times New Roman" w:cs="Times New Roman"/>
          <w:kern w:val="0"/>
          <w:lang w:eastAsia="pl-PL" w:bidi="ar-SA"/>
        </w:rPr>
        <w:t xml:space="preserve">Administracja samorządowa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I.3) WSPÓLNE UDZIELANIE ZAMÓWIENIA </w:t>
      </w:r>
      <w:r w:rsidRPr="00050677">
        <w:rPr>
          <w:rFonts w:eastAsia="Times New Roman" w:cs="Times New Roman"/>
          <w:b/>
          <w:bCs/>
          <w:i/>
          <w:iCs/>
          <w:kern w:val="0"/>
          <w:lang w:eastAsia="pl-PL" w:bidi="ar-SA"/>
        </w:rPr>
        <w:t>(jeżeli dotyczy)</w:t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I.4) KOMUNIKACJA: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Nieograniczony, pełny i bezpośredni dostęp do dokumentów z postępowania można uzyskać pod adresem (URL)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Adres strony internetowej, na której zamieszczona będzie specyfikacja istotnych warunków zamówienia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Dostęp do dokumentów z postępowania jest ograniczony - więcej informacji można uzyskać pod adresem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Oferty lub wnioski o dopuszczenie do udziału w postępowaniu należy przesyłać: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Elektronicznie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nie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adres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>Dopuszczone jest przesłanie ofert lub wniosków o dopuszczenie do udziału w postępowaniu w inny sposób: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Wymagane jest przesłanie ofert lub wniosków o dopuszczenie do udziału w postępowaniu w inny sposób: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Adres: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Komunikacja elektroniczna wymaga korzystania z narzędzi i urządzeń lub formatów plików, które nie są ogólnie dostępne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nie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Nieograniczony, pełny, bezpośredni i bezpłatny dostęp do tych narzędzi można uzyskać pod adresem: (URL)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u w:val="single"/>
          <w:lang w:eastAsia="pl-PL" w:bidi="ar-SA"/>
        </w:rPr>
        <w:t xml:space="preserve">SEKCJA II: PRZEDMIOT ZAMÓWIENIA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II.1) Nazwa nadana zamówieniu przez zamawiającego: </w:t>
      </w:r>
      <w:r w:rsidRPr="00050677">
        <w:rPr>
          <w:rFonts w:eastAsia="Times New Roman" w:cs="Times New Roman"/>
          <w:kern w:val="0"/>
          <w:lang w:eastAsia="pl-PL" w:bidi="ar-SA"/>
        </w:rPr>
        <w:t>Modernizacja budynków komunalnych - budynek ul. Nowa 4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Numer referencyjny: </w:t>
      </w:r>
      <w:r w:rsidRPr="00050677">
        <w:rPr>
          <w:rFonts w:eastAsia="Times New Roman" w:cs="Times New Roman"/>
          <w:kern w:val="0"/>
          <w:lang w:eastAsia="pl-PL" w:bidi="ar-SA"/>
        </w:rPr>
        <w:t>GKiM.27123.2016.W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Przed wszczęciem postępowania o udzielenie zamówienia przeprowadzono dialog techniczny </w:t>
      </w:r>
    </w:p>
    <w:p w:rsidR="00050677" w:rsidRPr="00050677" w:rsidRDefault="00050677" w:rsidP="00050677">
      <w:pPr>
        <w:widowControl/>
        <w:suppressAutoHyphens w:val="0"/>
        <w:jc w:val="both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II.2) Rodzaj zamówienia: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II.3) Informacja o możliwości składania ofert częściowych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Zamówienie podzielone jest na części: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lastRenderedPageBreak/>
        <w:br/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II.4) Krótki opis przedmiotu zamówienia </w:t>
      </w:r>
      <w:r w:rsidRPr="00050677">
        <w:rPr>
          <w:rFonts w:eastAsia="Times New Roman" w:cs="Times New Roman"/>
          <w:i/>
          <w:iCs/>
          <w:kern w:val="0"/>
          <w:lang w:eastAsia="pl-PL" w:bidi="ar-SA"/>
        </w:rPr>
        <w:t>(wielkość, zakres, rodzaj i ilość dostaw, usług lub robót budowlanych lub określenie zapotrzebowania i wymagań )</w:t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 a w przypadku partnerstwa innowacyjnego - określenie zapotrzebowania na innowacyjny produkt, usługę lub roboty budowlane: </w:t>
      </w:r>
      <w:r w:rsidRPr="00050677">
        <w:rPr>
          <w:rFonts w:eastAsia="Times New Roman" w:cs="Times New Roman"/>
          <w:kern w:val="0"/>
          <w:lang w:eastAsia="pl-PL" w:bidi="ar-SA"/>
        </w:rPr>
        <w:t xml:space="preserve">Przedmiotem zamówienia jest wykonanie robót ogólnobudowlanych w zakresie ocieplenia elewacji budynku, wykonanie ogrodzenia, remont klatki schodowej, wymiana stolarki okiennej i drzwiowej wewnętrznej i zewnętrznej w budynku mieszkalnym wielorodzinnym zlokalizowanym w Pucku przy ulicy Nowej 4. W ramach prac remontowych przewiduje się wykonanie następujących robót ogólnobudowlanych w zakresie: - Ocieplenia elewacji budynku, - Wykonania opaski z betonowej kostki brukowej, - Wykonania ogrodzenia, - Wymiany stolarki okiennej, - Wymiany stolarki drzwiowej zewnętrznej, - Wymiany stolarki drzwiowej wewnętrznej, - Remont klatki schodowej, - Roboty instalacyjne, - Roboty elektryczne Przedmiotem zamówienia jest wykonanie robót elektrycznych w zakresie remontu instalacji elektrycznej i teletechnicznej w budynku mieszkalnym wielorodzinnym zlokalizowanym w Pucku przy ulicy Nowej 4. W ramach prac remontowych przewiduje się wykonanie następujących robót elektrycznych: - wykopanie rowu kablowego, - ułożenie kabla energetycznego, - zasypanie wykopu, - przygotowanie ścian pod ułożenie przewodów (wykucie bruzd) - wykucie otworów w ścianach pod puszki elektryczne - remont instalacji oświetlenia ogólnego klatki schodowej, - remont instalacji oświetlenia w piwnicy i pralni (korytarz piwniczny, pomieszczenia piwniczne oraz pomieszczenia pralni), - remont instalacji oświetlenia lokalach nr 2,3,4,6; - częściowy remont instalacji oświetlenia lokalu nr 5; - remont instalacji gniazd 230 V ogólnego przeznaczenia, - remont instalacji gniazd 230 V w lokalach nr 2,3,4,6; - częściowy remont instalacji gniazd 230 V w lokalu nr 5; - remont wewnętrznych linii zasilających budynek oraz lokale mieszkalne, - remont instalacji, przepięciowej, uziemiającej i połączeń wyrównawczych, - remont instalacji RTV, - wykonanie instalacji domofonu i telefonu, -remont i wymiana rozdzielnic – RG (rozdzielnica główna), RA (rozdzielnia administracyjna), RA-2 (rozdzielnia administracyjna w pralni) oraz RB (rozdzielnice bezpiecznikowe) w lokalach, - demontaż starych i montaż nowych opraw, tablic, osprzętu elektrycznego - zatynkowanie bruzd z przewodami, -wykonanie badań i pomiarów : izolacji przewodów, skuteczności ochrony przeciwporażeniowej, uziemień instalacji ochronnej, ciągłości przewodów ochronnych oraz badanie wyłącznika różnicowo-prądowego, - wszystkie inne nie wymienione wyżej roboty elektryczne, jakie występują przy realizacji umowy. Rozwiązania techniczne stanowiące załącznik do wykonania robót są przedstawione na rysunkach. 2. Szczegółowy zakres opracowania zawarty został w dokumentacji projektowej. Wszędzie tam, gdzie przy opisie przedmiotu zamówienia lub w dokumentacji powołane są normy, aprobaty, specyfikacje techniczne i systemy odniesienia bądź wskazane są znaki towarowe, parametry lub źródła pochodzenia (nazwy producentów lub urządzeń), postanowienia te należy traktować jako przykładowe, a Wykonawca ma każdorazowo prawo zastosowania rozwiązania równoważnego z zastrzeżeniem, iż zaproponowane rozwiązania równoważne muszą spełniać co najmniej założenia projektowe. 3. Wykonawca, który wygra przetarg przed podpisaniem umowy zobowiązuje się dołączyć kosztorys ofertowy w formie uproszczonej, który musi zawierać: liczbę porządkową pozycji, podstawę wyceny, ilości, tabelę elementów scalonych oraz zbiorcze zestawienie robocizny, materiałów i sprzętu. 4. Na wykonane roboty budowlane okres gwarancji wynosi minimum 36 miesięcy od dnia odbioru przez Zamawiającego robot budowlanych i podpisania (bez uwag) protokołu odbioru końcowego.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II.5) Główny kod CPV: </w:t>
      </w:r>
      <w:r w:rsidRPr="00050677">
        <w:rPr>
          <w:rFonts w:eastAsia="Times New Roman" w:cs="Times New Roman"/>
          <w:kern w:val="0"/>
          <w:lang w:eastAsia="pl-PL" w:bidi="ar-SA"/>
        </w:rPr>
        <w:t>45000000-7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Dodatkowe kody CPV:</w:t>
      </w:r>
      <w:r w:rsidRPr="00050677">
        <w:rPr>
          <w:rFonts w:eastAsia="Times New Roman" w:cs="Times New Roman"/>
          <w:kern w:val="0"/>
          <w:lang w:eastAsia="pl-PL" w:bidi="ar-SA"/>
        </w:rPr>
        <w:t>45210000-2, 45310000-3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II.6) Całkowita wartość zamówienia </w:t>
      </w:r>
      <w:r w:rsidRPr="00050677">
        <w:rPr>
          <w:rFonts w:eastAsia="Times New Roman" w:cs="Times New Roman"/>
          <w:i/>
          <w:iCs/>
          <w:kern w:val="0"/>
          <w:lang w:eastAsia="pl-PL" w:bidi="ar-SA"/>
        </w:rPr>
        <w:t>(jeżeli zamawiający podaje informacje o wartości zamówienia)</w:t>
      </w:r>
      <w:r w:rsidRPr="00050677">
        <w:rPr>
          <w:rFonts w:eastAsia="Times New Roman" w:cs="Times New Roman"/>
          <w:kern w:val="0"/>
          <w:lang w:eastAsia="pl-PL" w:bidi="ar-SA"/>
        </w:rPr>
        <w:t xml:space="preserve">: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Wartość bez VAT: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Waluta: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lastRenderedPageBreak/>
        <w:br/>
      </w:r>
      <w:r w:rsidRPr="00050677">
        <w:rPr>
          <w:rFonts w:eastAsia="Times New Roman" w:cs="Times New Roman"/>
          <w:i/>
          <w:iCs/>
          <w:kern w:val="0"/>
          <w:lang w:eastAsia="pl-PL" w:bidi="ar-SA"/>
        </w:rPr>
        <w:t>(w przypadku umów ramowych lub dynamicznego systemu zakupów – szacunkowa całkowita maksymalna wartość w całym okresie obowiązywania umowy ramowej lub dynamicznego systemu zakupów)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II.7) Czy przewiduje się udzielenie zamówień, o których mowa w art. 67 ust. 1 pkt 6 i 7 lub w art. 134 ust. 6 pkt 3 ustawy </w:t>
      </w:r>
      <w:proofErr w:type="spellStart"/>
      <w:r w:rsidRPr="00050677">
        <w:rPr>
          <w:rFonts w:eastAsia="Times New Roman" w:cs="Times New Roman"/>
          <w:b/>
          <w:bCs/>
          <w:kern w:val="0"/>
          <w:lang w:eastAsia="pl-PL" w:bidi="ar-SA"/>
        </w:rPr>
        <w:t>Pzp</w:t>
      </w:r>
      <w:proofErr w:type="spellEnd"/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: </w:t>
      </w:r>
      <w:r w:rsidRPr="00050677">
        <w:rPr>
          <w:rFonts w:eastAsia="Times New Roman" w:cs="Times New Roman"/>
          <w:kern w:val="0"/>
          <w:lang w:eastAsia="pl-PL" w:bidi="ar-SA"/>
        </w:rPr>
        <w:t xml:space="preserve">tak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050677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050677">
        <w:rPr>
          <w:rFonts w:eastAsia="Times New Roman" w:cs="Times New Roman"/>
          <w:kern w:val="0"/>
          <w:lang w:eastAsia="pl-PL" w:bidi="ar-SA"/>
        </w:rPr>
        <w:t>: Zamawiający przewiduje udzielenie, w okresie 3 lat od udzielenia zamówienia podstawowego, dotychczasowemu wykonawcy robót budowlanych, zamówienia polegającego na powtórzeniu podobnych robót budowlanych, jeżeli takie zamówienie było przewidziane w ogłoszeniu o zamówieniu dla zamówienia podstawowego i jest zgodne z jego przedmiotem oraz całkowita wartość tego zamówienia została uwzględniona przy obliczeniu jego wartości.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II.8) Okres, w którym realizowane będzie zamówienie lub okres, na który została zawarta umowa ramowa lub okres, na który został ustanowiony dynamiczny system zakupów: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>data zakończenia: 15/12/2016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II.9) Informacje dodatkowe: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u w:val="single"/>
          <w:lang w:eastAsia="pl-PL" w:bidi="ar-SA"/>
        </w:rPr>
        <w:t xml:space="preserve">SEKCJA III: INFORMACJE O CHARAKTERZE PRAWNYM, EKONOMICZNYM, FINANSOWYM I TECHNICZNYM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III.1) WARUNKI UDZIAŁU W POSTĘPOWANIU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>III.1.1) Kompetencje lub uprawnienia do prowadzenia określonej działalności zawodowej, o ile wynika to z odrębnych przepisów</w:t>
      </w:r>
      <w:r w:rsidRPr="00050677">
        <w:rPr>
          <w:rFonts w:eastAsia="Times New Roman" w:cs="Times New Roman"/>
          <w:kern w:val="0"/>
          <w:lang w:eastAsia="pl-PL" w:bidi="ar-SA"/>
        </w:rPr>
        <w:br/>
        <w:t>Określenie warunków: Zamawiający nie określa warunku.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Informacje dodatkowe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III.1.2) Sytuacja finansowa lub ekonomiczna </w:t>
      </w:r>
      <w:r w:rsidRPr="00050677">
        <w:rPr>
          <w:rFonts w:eastAsia="Times New Roman" w:cs="Times New Roman"/>
          <w:kern w:val="0"/>
          <w:lang w:eastAsia="pl-PL" w:bidi="ar-SA"/>
        </w:rPr>
        <w:br/>
        <w:t>Określenie warunków: Wykonawca spełni warunek jeżeli wykaże, że jest ubezpieczony od odpowiedzialności cywilnej w zakresie prowadzonej działalności związanej z przedmiotem zamówienia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Informacje dodatkowe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III.1.3) Zdolność techniczna lub zawodowa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Określenie warunków: Wykonawca spełni warunek jeżeli wykaże, • że zrealizował w okresie ostatnich 5 lat przed upływem terminu składania ofert, a jeżeli okres prowadzenia działalności jest krótszy – w tym okresie, wykonał należycie co najmniej 1 robotę budowlaną odpowiadającą swoim rodzajem robotom budowlanym stanowiącym przedmiot zamówienia o wartości minimum 170.000,00 zł. brutto. • że dysponuje: – Kierownikiem budowy posiadającym uprawnienia do kierowania robotami ogólnobudowlanymi w specjalności konstrukcyjno-budowlanej bez ograniczeń, – Kierownikiem robót branży sanitarnej, – Kierownikiem robot branży elektrycznej. Uwaga! Zamawiający dopuszcza możliwość łączenia przez jedną osobę w/w funkcji celem spełnienia ww. warunku.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Informacje dodatkowe: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III.2) PODSTAWY WYKLUCZENIA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III.2.1) Podstawy wykluczenia określone w art. 24 ust. 1 ustawy </w:t>
      </w:r>
      <w:proofErr w:type="spellStart"/>
      <w:r w:rsidRPr="00050677">
        <w:rPr>
          <w:rFonts w:eastAsia="Times New Roman" w:cs="Times New Roman"/>
          <w:b/>
          <w:bCs/>
          <w:kern w:val="0"/>
          <w:lang w:eastAsia="pl-PL" w:bidi="ar-SA"/>
        </w:rPr>
        <w:t>Pzp</w:t>
      </w:r>
      <w:proofErr w:type="spellEnd"/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III.2.2) Zamawiający przewiduje wykluczenie wykonawcy na podstawie art. 24 ust. 5 ustawy </w:t>
      </w:r>
      <w:proofErr w:type="spellStart"/>
      <w:r w:rsidRPr="00050677">
        <w:rPr>
          <w:rFonts w:eastAsia="Times New Roman" w:cs="Times New Roman"/>
          <w:b/>
          <w:bCs/>
          <w:kern w:val="0"/>
          <w:lang w:eastAsia="pl-PL" w:bidi="ar-SA"/>
        </w:rPr>
        <w:t>Pzp</w:t>
      </w:r>
      <w:proofErr w:type="spellEnd"/>
      <w:r w:rsidRPr="00050677">
        <w:rPr>
          <w:rFonts w:eastAsia="Times New Roman" w:cs="Times New Roman"/>
          <w:kern w:val="0"/>
          <w:lang w:eastAsia="pl-PL" w:bidi="ar-SA"/>
        </w:rPr>
        <w:t xml:space="preserve"> tak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Zamawiający przewiduje następujące fakultatywne podstawy wykluczenia: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(podstawa wykluczenia określona w art. 24 ust. 5 pkt 1 ustawy </w:t>
      </w:r>
      <w:proofErr w:type="spellStart"/>
      <w:r w:rsidRPr="00050677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050677">
        <w:rPr>
          <w:rFonts w:eastAsia="Times New Roman" w:cs="Times New Roman"/>
          <w:kern w:val="0"/>
          <w:lang w:eastAsia="pl-PL" w:bidi="ar-SA"/>
        </w:rPr>
        <w:t xml:space="preserve">)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(podstawa wykluczenia określona w art. 24 ust. 5 pkt 2 ustawy </w:t>
      </w:r>
      <w:proofErr w:type="spellStart"/>
      <w:r w:rsidRPr="00050677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050677">
        <w:rPr>
          <w:rFonts w:eastAsia="Times New Roman" w:cs="Times New Roman"/>
          <w:kern w:val="0"/>
          <w:lang w:eastAsia="pl-PL" w:bidi="ar-SA"/>
        </w:rPr>
        <w:t xml:space="preserve">)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lastRenderedPageBreak/>
        <w:t xml:space="preserve">(podstawa wykluczenia określona w art. 24 ust. 5 pkt 3 ustawy </w:t>
      </w:r>
      <w:proofErr w:type="spellStart"/>
      <w:r w:rsidRPr="00050677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050677">
        <w:rPr>
          <w:rFonts w:eastAsia="Times New Roman" w:cs="Times New Roman"/>
          <w:kern w:val="0"/>
          <w:lang w:eastAsia="pl-PL" w:bidi="ar-SA"/>
        </w:rPr>
        <w:t xml:space="preserve">)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(podstawa wykluczenia określona w art. 24 ust. 5 pkt 4 ustawy </w:t>
      </w:r>
      <w:proofErr w:type="spellStart"/>
      <w:r w:rsidRPr="00050677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050677">
        <w:rPr>
          <w:rFonts w:eastAsia="Times New Roman" w:cs="Times New Roman"/>
          <w:kern w:val="0"/>
          <w:lang w:eastAsia="pl-PL" w:bidi="ar-SA"/>
        </w:rPr>
        <w:t xml:space="preserve">)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(podstawa wykluczenia określona w art. 24 ust. 5 pkt 5 ustawy </w:t>
      </w:r>
      <w:proofErr w:type="spellStart"/>
      <w:r w:rsidRPr="00050677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050677">
        <w:rPr>
          <w:rFonts w:eastAsia="Times New Roman" w:cs="Times New Roman"/>
          <w:kern w:val="0"/>
          <w:lang w:eastAsia="pl-PL" w:bidi="ar-SA"/>
        </w:rPr>
        <w:t xml:space="preserve">)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(podstawa wykluczenia określona w art. 24 ust. 5 pkt 6 ustawy </w:t>
      </w:r>
      <w:proofErr w:type="spellStart"/>
      <w:r w:rsidRPr="00050677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050677">
        <w:rPr>
          <w:rFonts w:eastAsia="Times New Roman" w:cs="Times New Roman"/>
          <w:kern w:val="0"/>
          <w:lang w:eastAsia="pl-PL" w:bidi="ar-SA"/>
        </w:rPr>
        <w:t xml:space="preserve">)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(podstawa wykluczenia określona w art. 24 ust. 5 pkt 7 ustawy </w:t>
      </w:r>
      <w:proofErr w:type="spellStart"/>
      <w:r w:rsidRPr="00050677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050677">
        <w:rPr>
          <w:rFonts w:eastAsia="Times New Roman" w:cs="Times New Roman"/>
          <w:kern w:val="0"/>
          <w:lang w:eastAsia="pl-PL" w:bidi="ar-SA"/>
        </w:rPr>
        <w:t xml:space="preserve">)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(podstawa wykluczenia określona w art. 24 ust. 5 pkt 8 ustawy </w:t>
      </w:r>
      <w:proofErr w:type="spellStart"/>
      <w:r w:rsidRPr="00050677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050677">
        <w:rPr>
          <w:rFonts w:eastAsia="Times New Roman" w:cs="Times New Roman"/>
          <w:kern w:val="0"/>
          <w:lang w:eastAsia="pl-PL" w:bidi="ar-SA"/>
        </w:rPr>
        <w:t xml:space="preserve">)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Oświadczenie o niepodleganiu wykluczeniu oraz spełnianiu warunków udziału w postępowaniu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tak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Oświadczenie o spełnianiu kryteriów selekcji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nie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>Do oferty każdy wykonawca musi dołączyć aktualne na dzień składania ofert oświadczenie w zakresie wskazanym w załączniku nr 3 do SIWZ. Informacje zawarte w oświadczeniu będą stanowić wstępne potwierdzenie, że wykonawca nie podlega wykluczeniu oraz spełnia warunki udziału w postępowaniu.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>III.5.1) W ZAKRESIE SPEŁNIANIA WARUNKÓW UDZIAŁU W POSTĘPOWANIU: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a) 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Wraz z oświadczeniem na temat wykształcenia i kwalifikacji zawodowych wykonawcy lub kadry kierowniczej wykonawcy. b) Wykaz robót budowlanych wykonanych nie wcześniej niż w okresie 5 lat przed upływem terminu składania ofert, a jeżeli okres prowadzenia działalności jest krótszy-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c) Dokument potwierdzający, że Wykonawca jest ubezpieczony od odpowiedzialności cywilnej w zakresie prowadzonej działalności związanej z przedmiotem zamówienia.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III.5.2) W ZAKRESIE KRYTERIÓW SELEKCJI: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III.7) INNE DOKUMENTY NIE WYMIENIONE W pkt III.3) - III.6)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u w:val="single"/>
          <w:lang w:eastAsia="pl-PL" w:bidi="ar-SA"/>
        </w:rPr>
        <w:lastRenderedPageBreak/>
        <w:t xml:space="preserve">SEKCJA IV: PROCEDURA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IV.1) OPIS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IV.1.1) Tryb udzielenia zamówienia: </w:t>
      </w:r>
      <w:r w:rsidRPr="00050677">
        <w:rPr>
          <w:rFonts w:eastAsia="Times New Roman" w:cs="Times New Roman"/>
          <w:kern w:val="0"/>
          <w:lang w:eastAsia="pl-PL" w:bidi="ar-SA"/>
        </w:rPr>
        <w:t xml:space="preserve">przetarg nieograniczony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IV.1.2) Zamawiający żąda wniesienia wadium: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tak,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Informacja na temat wadium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1. Wykonawca zobowiązany jest wnieść wadium w wysokości 3.200,00 PLN (słownie: trzy tysiące dwieście złotych 00/100) przed upływem terminu składania ofert. 2. Wadium może być wniesione w: 1) pieniądzu; 2) poręczeniach bankowych, lub poręczeniach spółdzielczej kasy oszczędnościowo-kredytowej, z tym, że poręczenie kasy jest zawsze poręczeniem pieniężnym; 3) gwarancjach bankowych; 4) gwarancjach ubezpieczeniowych; 5) poręczeniach udzielanych przez podmioty, o których mowa w art. 6b ust. 5 pkt 2 ustawy z dnia 9 listopada 2000r. o utworzeniu Polskiej Agencji Rozwoju Przedsiębiorczości (Dz. U. z 2014 r. poz. 1804). Wadium wnoszone w formie gwarancji lub poręczeń musi być złożone w oryginale przed upływem terminu składania ofert w Referacie Finansowo-Budżetowym Urzędu Miasta w Pucku, 84-100 Puck, ul. 1 Maja 13, pokój nr 213. Gwarancje bankowe, ubezpieczeniowe lub poręczenia winny posiadać ważność od dnia otwarcia ofert. Wadium, niezależnie od formy wniesienia, podlega prawu polskiemu. Wykonawcy - wnosząc wadium - powinni zawsze podawać numer sprawy (przetargu) oraz nazwę zamówienia. 3. Wadium w formie pieniądza należy wnieść przelewem na konto w Banku Millennium S. A. nr rachunku 22 1160 2202 0000 0001 6285 3611, z dopiskiem na przelewie: „Wadium w postępowaniu RGKiM.271.23.2016.WK pn.: Modernizacja budynków komunalnych – budynek ul. Nowa 4”. 4. Skuteczne wniesienie wadium w pieniądzu następuje z chwilą uznania środków pieniężnych na rachunku bankowym Zamawiającego, o którym mowa w rozdz. VIII. 3 niniejszej SIWZ, przed upływem terminu składania ofert (tj. przed upływem dnia i godziny wyznaczonej jako ostateczny termin składania ofert).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IV.1.3) Przewiduje się udzielenie zaliczek na poczet wykonania zamówienia: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IV.1.4) Wymaga się złożenia ofert w postaci katalogów elektronicznych lub dołączenia do ofert katalogów elektronicznych: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nie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Dopuszcza się złożenie ofert w postaci katalogów elektronicznych lub dołączenia do ofert katalogów elektronicznych: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Informacje dodatkowe: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IV.1.5.) Wymaga się złożenia oferty wariantowej: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nie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Dopuszcza się złożenie oferty wariantowej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Złożenie oferty wariantowej dopuszcza się tylko z jednoczesnym złożeniem oferty zasadniczej: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nie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IV.1.6) Przewidywana liczba wykonawców, którzy zostaną zaproszeni do udziału w postępowaniu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i/>
          <w:iCs/>
          <w:kern w:val="0"/>
          <w:lang w:eastAsia="pl-PL" w:bidi="ar-SA"/>
        </w:rPr>
        <w:t xml:space="preserve">(przetarg ograniczony, negocjacje z ogłoszeniem, dialog konkurencyjny, partnerstwo innowacyjne)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>Liczba wykonawców  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Przewidywana minimalna liczba wykonawców </w:t>
      </w:r>
      <w:r w:rsidRPr="00050677">
        <w:rPr>
          <w:rFonts w:eastAsia="Times New Roman" w:cs="Times New Roman"/>
          <w:kern w:val="0"/>
          <w:lang w:eastAsia="pl-PL" w:bidi="ar-SA"/>
        </w:rPr>
        <w:br/>
        <w:t>Maksymalna liczba wykonawców  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Kryteria selekcji wykonawców: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lastRenderedPageBreak/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IV.1.7) Informacje na temat umowy ramowej lub dynamicznego systemu zakupów: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Umowa ramowa będzie zawarta: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Czy przewiduje się ograniczenie liczby uczestników umowy ramowej: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Informacje dodatkowe: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Zamówienie obejmuje ustanowienie dynamicznego systemu zakupów: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Informacje dodatkowe: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W ramach umowy ramowej/dynamicznego systemu zakupów dopuszcza się złożenie ofert w formie katalogów elektronicznych: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nie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IV.1.8) Aukcja elektroniczna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Przewidziane jest przeprowadzenie aukcji elektronicznej </w:t>
      </w:r>
      <w:r w:rsidRPr="00050677">
        <w:rPr>
          <w:rFonts w:eastAsia="Times New Roman" w:cs="Times New Roman"/>
          <w:i/>
          <w:iCs/>
          <w:kern w:val="0"/>
          <w:lang w:eastAsia="pl-PL" w:bidi="ar-SA"/>
        </w:rPr>
        <w:t xml:space="preserve">(przetarg nieograniczony, przetarg ograniczony, negocjacje z ogłoszeniem) </w:t>
      </w:r>
      <w:r w:rsidRPr="00050677">
        <w:rPr>
          <w:rFonts w:eastAsia="Times New Roman" w:cs="Times New Roman"/>
          <w:kern w:val="0"/>
          <w:lang w:eastAsia="pl-PL" w:bidi="ar-SA"/>
        </w:rPr>
        <w:t xml:space="preserve">nie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Należy wskazać elementy, których wartości będą przedmiotem aukcji elektronicznej: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Przewiduje się ograniczenia co do przedstawionych wartości, wynikające z opisu przedmiotu zamówienia: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Należy podać, które informacje zostaną udostępnione wykonawcom w trakcie aukcji elektronicznej oraz jaki będzie termin ich udostępnienia: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Informacje dotyczące przebiegu aukcji elektronicznej: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Informacje dotyczące wykorzystywanego sprzętu elektronicznego, rozwiązań i specyfikacji technicznych w zakresie połączeń: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Wymagania dotyczące rejestracji i identyfikacji wykonawców w aukcji elektronicznej: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Informacje o liczbie etapów aukcji elektronicznej i czasie ich trwania: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Aukcja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1848"/>
      </w:tblGrid>
      <w:tr w:rsidR="00050677" w:rsidRPr="00050677" w:rsidTr="000506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0677" w:rsidRPr="00050677" w:rsidRDefault="00050677" w:rsidP="0005067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050677">
              <w:rPr>
                <w:rFonts w:eastAsia="Times New Roman" w:cs="Times New Roman"/>
                <w:kern w:val="0"/>
                <w:lang w:eastAsia="pl-PL" w:bidi="ar-SA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050677" w:rsidRPr="00050677" w:rsidRDefault="00050677" w:rsidP="0005067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050677">
              <w:rPr>
                <w:rFonts w:eastAsia="Times New Roman" w:cs="Times New Roman"/>
                <w:kern w:val="0"/>
                <w:lang w:eastAsia="pl-PL" w:bidi="ar-SA"/>
              </w:rPr>
              <w:t>czas trwania etapu</w:t>
            </w:r>
          </w:p>
        </w:tc>
      </w:tr>
      <w:tr w:rsidR="00050677" w:rsidRPr="00050677" w:rsidTr="000506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0677" w:rsidRPr="00050677" w:rsidRDefault="00050677" w:rsidP="0005067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050677" w:rsidRPr="00050677" w:rsidRDefault="00050677" w:rsidP="00050677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  <w:t xml:space="preserve">Czy wykonawcy, którzy nie złożyli nowych postąpień, zostaną zakwalifikowani do następnego etapu: nie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Warunki zamknięcia aukcji elektronicznej: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IV.2) KRYTERIA OCENY OFERT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IV.2.1) Kryteria oceny ofert: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IV.2.2) Kryteria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5"/>
        <w:gridCol w:w="1049"/>
      </w:tblGrid>
      <w:tr w:rsidR="00050677" w:rsidRPr="00050677" w:rsidTr="000506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0677" w:rsidRPr="00050677" w:rsidRDefault="00050677" w:rsidP="0005067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050677">
              <w:rPr>
                <w:rFonts w:eastAsia="Times New Roman" w:cs="Times New Roman"/>
                <w:i/>
                <w:iCs/>
                <w:kern w:val="0"/>
                <w:lang w:eastAsia="pl-PL" w:bidi="ar-SA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050677" w:rsidRPr="00050677" w:rsidRDefault="00050677" w:rsidP="0005067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050677">
              <w:rPr>
                <w:rFonts w:eastAsia="Times New Roman" w:cs="Times New Roman"/>
                <w:i/>
                <w:iCs/>
                <w:kern w:val="0"/>
                <w:lang w:eastAsia="pl-PL" w:bidi="ar-SA"/>
              </w:rPr>
              <w:t>Znaczenie</w:t>
            </w:r>
          </w:p>
        </w:tc>
      </w:tr>
      <w:tr w:rsidR="00050677" w:rsidRPr="00050677" w:rsidTr="000506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0677" w:rsidRPr="00050677" w:rsidRDefault="00050677" w:rsidP="0005067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050677">
              <w:rPr>
                <w:rFonts w:eastAsia="Times New Roman" w:cs="Times New Roman"/>
                <w:kern w:val="0"/>
                <w:lang w:eastAsia="pl-PL" w:bidi="ar-SA"/>
              </w:rPr>
              <w:t>Cena</w:t>
            </w:r>
          </w:p>
        </w:tc>
        <w:tc>
          <w:tcPr>
            <w:tcW w:w="0" w:type="auto"/>
            <w:vAlign w:val="center"/>
            <w:hideMark/>
          </w:tcPr>
          <w:p w:rsidR="00050677" w:rsidRPr="00050677" w:rsidRDefault="00050677" w:rsidP="0005067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050677">
              <w:rPr>
                <w:rFonts w:eastAsia="Times New Roman" w:cs="Times New Roman"/>
                <w:kern w:val="0"/>
                <w:lang w:eastAsia="pl-PL" w:bidi="ar-SA"/>
              </w:rPr>
              <w:t>60</w:t>
            </w:r>
          </w:p>
        </w:tc>
      </w:tr>
      <w:tr w:rsidR="00050677" w:rsidRPr="00050677" w:rsidTr="000506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0677" w:rsidRPr="00050677" w:rsidRDefault="00050677" w:rsidP="0005067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050677">
              <w:rPr>
                <w:rFonts w:eastAsia="Times New Roman" w:cs="Times New Roman"/>
                <w:kern w:val="0"/>
                <w:lang w:eastAsia="pl-PL" w:bidi="ar-SA"/>
              </w:rPr>
              <w:t>Okres gwarancji</w:t>
            </w:r>
          </w:p>
        </w:tc>
        <w:tc>
          <w:tcPr>
            <w:tcW w:w="0" w:type="auto"/>
            <w:vAlign w:val="center"/>
            <w:hideMark/>
          </w:tcPr>
          <w:p w:rsidR="00050677" w:rsidRPr="00050677" w:rsidRDefault="00050677" w:rsidP="0005067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050677">
              <w:rPr>
                <w:rFonts w:eastAsia="Times New Roman" w:cs="Times New Roman"/>
                <w:kern w:val="0"/>
                <w:lang w:eastAsia="pl-PL" w:bidi="ar-SA"/>
              </w:rPr>
              <w:t>40</w:t>
            </w:r>
          </w:p>
        </w:tc>
      </w:tr>
    </w:tbl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IV.2.3) Zastosowanie procedury, o której mowa w art. 24aa ust. 1 ustawy </w:t>
      </w:r>
      <w:proofErr w:type="spellStart"/>
      <w:r w:rsidRPr="00050677">
        <w:rPr>
          <w:rFonts w:eastAsia="Times New Roman" w:cs="Times New Roman"/>
          <w:b/>
          <w:bCs/>
          <w:kern w:val="0"/>
          <w:lang w:eastAsia="pl-PL" w:bidi="ar-SA"/>
        </w:rPr>
        <w:t>Pzp</w:t>
      </w:r>
      <w:proofErr w:type="spellEnd"/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 </w:t>
      </w:r>
      <w:r w:rsidRPr="00050677">
        <w:rPr>
          <w:rFonts w:eastAsia="Times New Roman" w:cs="Times New Roman"/>
          <w:kern w:val="0"/>
          <w:lang w:eastAsia="pl-PL" w:bidi="ar-SA"/>
        </w:rPr>
        <w:t xml:space="preserve">(przetarg nieograniczony)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lastRenderedPageBreak/>
        <w:t xml:space="preserve">tak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IV.3) Negocjacje z ogłoszeniem, dialog konkurencyjny, partnerstwo innowacyjne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IV.3.1) Informacje na temat negocjacji z ogłoszeniem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Minimalne wymagania, które muszą spełniać wszystkie oferty: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Przewidziane jest zastrzeżenie prawa do udzielenia zamówienia na podstawie ofert wstępnych bez przeprowadzenia negocjacji nie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Przewidziany jest podział negocjacji na etapy w celu ograniczenia liczby ofert: nie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Należy podać informacje na temat etapów negocjacji (w tym liczbę etapów):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Informacje dodatkowe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IV.3.2) Informacje na temat dialogu konkurencyjnego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Opis potrzeb i wymagań zamawiającego lub informacja o sposobie uzyskania tego opisu: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Wstępny harmonogram postępowania: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Podział dialogu na etapy w celu ograniczenia liczby rozwiązań: nie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Należy podać informacje na temat etapów dialogu: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Informacje dodatkowe: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IV.3.3) Informacje na temat partnerstwa innowacyjnego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Elementy opisu przedmiotu zamówienia definiujące minimalne wymagania, którym muszą odpowiadać wszystkie oferty: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Informacje dodatkowe: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IV.4) Licytacja elektroniczna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Adres strony internetowej, na której będzie prowadzona licytacja elektroniczna: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Adres strony internetowej, na której jest dostępny opis przedmiotu zamówienia w licytacji elektronicznej: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Wymagania dotyczące rejestracji i identyfikacji wykonawców w licytacji elektronicznej, w tym wymagania techniczne urządzeń informatycznych: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Sposób postępowania w toku licytacji elektronicznej, w tym określenie minimalnych wysokości postąpień: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Informacje o liczbie etapów licytacji elektronicznej i czasie ich trwania: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Licytacja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1848"/>
      </w:tblGrid>
      <w:tr w:rsidR="00050677" w:rsidRPr="00050677" w:rsidTr="000506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0677" w:rsidRPr="00050677" w:rsidRDefault="00050677" w:rsidP="0005067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050677">
              <w:rPr>
                <w:rFonts w:eastAsia="Times New Roman" w:cs="Times New Roman"/>
                <w:kern w:val="0"/>
                <w:lang w:eastAsia="pl-PL" w:bidi="ar-SA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050677" w:rsidRPr="00050677" w:rsidRDefault="00050677" w:rsidP="0005067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050677">
              <w:rPr>
                <w:rFonts w:eastAsia="Times New Roman" w:cs="Times New Roman"/>
                <w:kern w:val="0"/>
                <w:lang w:eastAsia="pl-PL" w:bidi="ar-SA"/>
              </w:rPr>
              <w:t>czas trwania etapu</w:t>
            </w:r>
          </w:p>
        </w:tc>
      </w:tr>
      <w:tr w:rsidR="00050677" w:rsidRPr="00050677" w:rsidTr="000506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0677" w:rsidRPr="00050677" w:rsidRDefault="00050677" w:rsidP="0005067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050677" w:rsidRPr="00050677" w:rsidRDefault="00050677" w:rsidP="00050677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  <w:t xml:space="preserve">Wykonawcy, którzy nie złożyli nowych postąpień, zostaną zakwalifikowani do następnego etapu: nie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lastRenderedPageBreak/>
        <w:t xml:space="preserve">Termin otwarcia licytacji elektronicznej: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t xml:space="preserve">Termin i warunki zamknięcia licytacji elektronicznej: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  <w:t xml:space="preserve">Wymagania dotyczące zabezpieczenia należytego wykonania umowy: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kern w:val="0"/>
          <w:lang w:eastAsia="pl-PL" w:bidi="ar-SA"/>
        </w:rPr>
        <w:br/>
        <w:t xml:space="preserve">Informacje dodatkowe: </w:t>
      </w: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050677">
        <w:rPr>
          <w:rFonts w:eastAsia="Times New Roman" w:cs="Times New Roman"/>
          <w:b/>
          <w:bCs/>
          <w:kern w:val="0"/>
          <w:lang w:eastAsia="pl-PL" w:bidi="ar-SA"/>
        </w:rPr>
        <w:t>IV.5) ZMIANA UMOWY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Przewiduje się istotne zmiany postanowień zawartej umowy w stosunku do treści oferty, na podstawie której dokonano wyboru wykonawcy:</w:t>
      </w:r>
      <w:r w:rsidRPr="00050677">
        <w:rPr>
          <w:rFonts w:eastAsia="Times New Roman" w:cs="Times New Roman"/>
          <w:kern w:val="0"/>
          <w:lang w:eastAsia="pl-PL" w:bidi="ar-SA"/>
        </w:rPr>
        <w:t xml:space="preserve"> tak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Należy wskazać zakres, charakter zmian oraz warunki wprowadzenia zmian: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1. Niedopuszczalna jest zmiana postanowień zawartej Umowy w stosunku do treści oferty, na podstawie której dokonano wyboru Wykonawcy, za wyjątkiem poniższych przypadków: 1) zmiany przedstawiciela ze strony Zamawiającego, 2) zmiany numeru konta lub innych danych podmiotowych stron Umowy, 3) zamiany stawki podatku VAT. 2. Zamiany terminu wykonania umowy w przypadku: 1) działania siły wyższej lub wystąpienia niekorzystnych warunków atmosferycznych, 2) wystąpienia kolizji z niezinwentaryzowanymi sieciami, 3) konieczności przeprowadzenia innych prac wcześniej niezidentyfikowanych, 4) wstrzymania robót przez uprawnione podmioty, 5) konieczności wykonania prac wynikających z zaleceń organów uprawnionych, np. nadzoru budowlanego, PIP, itp. 6) przestojów i opóźnień zawinionych przez Zamawiającego, 7) czasowego wstrzymania prac przez Zamawiającego, 8) w przypadku nieprzewidzianych przeszkód uniemożliwiających realizację przedmiotu zamówienia w określonym umową terminie. 3. Wszelkie zmiany i uzupełnienia treści niniejszej umowy wymagają aneksu sporządzonego z zachowaniem formy pisemnej pod rygorem nieważności. 4.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5. W trakcie trwania niniejszej umowy Wykonawca zobowiązuje się do pisemnego powiadamiania Zamawiającego o: 1) ogłoszeniu upadłości, 2) ogłoszeniu likwidacji, 3) zmianie siedziby lub nazwy firmy, 4) zmianie osób reprezentujących, 5) zawieszenia działalności, 6) wszczęciu postępowania układowego, w którym uczestniczy Wykonawca.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IV.6) INFORMACJE ADMINISTRACYJNE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IV.6.1) Sposób udostępniania informacji o charakterze poufnym </w:t>
      </w:r>
      <w:r w:rsidRPr="00050677">
        <w:rPr>
          <w:rFonts w:eastAsia="Times New Roman" w:cs="Times New Roman"/>
          <w:i/>
          <w:iCs/>
          <w:kern w:val="0"/>
          <w:lang w:eastAsia="pl-PL" w:bidi="ar-SA"/>
        </w:rPr>
        <w:t xml:space="preserve">(jeżeli dotyczy):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Środki służące ochronie informacji o charakterze poufnym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IV.6.2) Termin składania ofert lub wniosków o dopuszczenie do udziału w postępowaniu: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Data: 03/11/2016, godzina: 09:15,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Wskazać powody: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kern w:val="0"/>
          <w:lang w:eastAsia="pl-PL" w:bidi="ar-SA"/>
        </w:rPr>
        <w:br/>
        <w:t xml:space="preserve">Język lub języki, w jakich mogą być sporządzane oferty lub wnioski o dopuszczenie do udziału w postępowaniu </w:t>
      </w:r>
      <w:r w:rsidRPr="00050677">
        <w:rPr>
          <w:rFonts w:eastAsia="Times New Roman" w:cs="Times New Roman"/>
          <w:kern w:val="0"/>
          <w:lang w:eastAsia="pl-PL" w:bidi="ar-SA"/>
        </w:rPr>
        <w:br/>
        <w:t>&gt; Język polski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IV.6.3) Termin związania ofertą: </w:t>
      </w:r>
      <w:r w:rsidRPr="00050677">
        <w:rPr>
          <w:rFonts w:eastAsia="Times New Roman" w:cs="Times New Roman"/>
          <w:kern w:val="0"/>
          <w:lang w:eastAsia="pl-PL" w:bidi="ar-SA"/>
        </w:rPr>
        <w:t xml:space="preserve">okres w dniach: 30 (od ostatecznego terminu składania ofert)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 xml:space="preserve">IV.6.4) Przewiduje się unieważnienie postępowania o udzielenie zamówienia, w przypadku nieprzyznania środków pochodzących z budżetu Unii Europejskiej oraz niepodlegających </w:t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lastRenderedPageBreak/>
        <w:t>zwrotowi środków z pomocy udzielonej przez państwa członkowskie Europejskiego Porozumienia o Wolnym Handlu (EFTA), które miały być przeznaczone na sfinansowanie całości lub części zamówienia:</w:t>
      </w:r>
      <w:r w:rsidRPr="00050677">
        <w:rPr>
          <w:rFonts w:eastAsia="Times New Roman" w:cs="Times New Roman"/>
          <w:kern w:val="0"/>
          <w:lang w:eastAsia="pl-PL" w:bidi="ar-SA"/>
        </w:rPr>
        <w:t xml:space="preserve"> nie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050677">
        <w:rPr>
          <w:rFonts w:eastAsia="Times New Roman" w:cs="Times New Roman"/>
          <w:kern w:val="0"/>
          <w:lang w:eastAsia="pl-PL" w:bidi="ar-SA"/>
        </w:rPr>
        <w:t xml:space="preserve"> nie </w:t>
      </w:r>
      <w:r w:rsidRPr="00050677">
        <w:rPr>
          <w:rFonts w:eastAsia="Times New Roman" w:cs="Times New Roman"/>
          <w:kern w:val="0"/>
          <w:lang w:eastAsia="pl-PL" w:bidi="ar-SA"/>
        </w:rPr>
        <w:br/>
      </w:r>
      <w:r w:rsidRPr="00050677">
        <w:rPr>
          <w:rFonts w:eastAsia="Times New Roman" w:cs="Times New Roman"/>
          <w:b/>
          <w:bCs/>
          <w:kern w:val="0"/>
          <w:lang w:eastAsia="pl-PL" w:bidi="ar-SA"/>
        </w:rPr>
        <w:t>IV.6.6) Informacje dodatkowe:</w:t>
      </w:r>
    </w:p>
    <w:p w:rsidR="00050677" w:rsidRPr="00050677" w:rsidRDefault="00050677" w:rsidP="00050677">
      <w:pPr>
        <w:widowControl/>
        <w:suppressAutoHyphens w:val="0"/>
        <w:spacing w:after="240"/>
        <w:rPr>
          <w:rFonts w:eastAsia="Times New Roman" w:cs="Times New Roman"/>
          <w:kern w:val="0"/>
          <w:lang w:eastAsia="pl-PL" w:bidi="ar-SA"/>
        </w:rPr>
      </w:pPr>
    </w:p>
    <w:p w:rsidR="00943643" w:rsidRPr="000F2DB8" w:rsidRDefault="00943643" w:rsidP="000F2DB8"/>
    <w:sectPr w:rsidR="00943643" w:rsidRPr="000F2DB8" w:rsidSect="004149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ABA" w:rsidRDefault="00F90ABA" w:rsidP="00050677">
      <w:r>
        <w:separator/>
      </w:r>
    </w:p>
  </w:endnote>
  <w:endnote w:type="continuationSeparator" w:id="0">
    <w:p w:rsidR="00F90ABA" w:rsidRDefault="00F90ABA" w:rsidP="00050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677" w:rsidRDefault="000506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99706498"/>
      <w:docPartObj>
        <w:docPartGallery w:val="Page Numbers (Bottom of Page)"/>
        <w:docPartUnique/>
      </w:docPartObj>
    </w:sdtPr>
    <w:sdtEndPr/>
    <w:sdtContent>
      <w:p w:rsidR="00050677" w:rsidRDefault="0005067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483">
          <w:rPr>
            <w:noProof/>
          </w:rPr>
          <w:t>10</w:t>
        </w:r>
        <w:r>
          <w:fldChar w:fldCharType="end"/>
        </w:r>
      </w:p>
    </w:sdtContent>
  </w:sdt>
  <w:p w:rsidR="00050677" w:rsidRDefault="0005067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677" w:rsidRDefault="000506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ABA" w:rsidRDefault="00F90ABA" w:rsidP="00050677">
      <w:r>
        <w:separator/>
      </w:r>
    </w:p>
  </w:footnote>
  <w:footnote w:type="continuationSeparator" w:id="0">
    <w:p w:rsidR="00F90ABA" w:rsidRDefault="00F90ABA" w:rsidP="000506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677" w:rsidRDefault="000506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677" w:rsidRDefault="000506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677" w:rsidRDefault="000506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eastAsia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4531AE6"/>
    <w:multiLevelType w:val="hybridMultilevel"/>
    <w:tmpl w:val="D376F282"/>
    <w:lvl w:ilvl="0" w:tplc="DC7C3A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7E3767"/>
    <w:multiLevelType w:val="hybridMultilevel"/>
    <w:tmpl w:val="57B4F5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806DBF"/>
    <w:multiLevelType w:val="hybridMultilevel"/>
    <w:tmpl w:val="FEBE6256"/>
    <w:lvl w:ilvl="0" w:tplc="DC7C3A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B058EA"/>
    <w:multiLevelType w:val="hybridMultilevel"/>
    <w:tmpl w:val="927400BE"/>
    <w:lvl w:ilvl="0" w:tplc="DC7C3A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BC7F59"/>
    <w:multiLevelType w:val="hybridMultilevel"/>
    <w:tmpl w:val="B344D4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73621BB"/>
    <w:multiLevelType w:val="hybridMultilevel"/>
    <w:tmpl w:val="787ED940"/>
    <w:lvl w:ilvl="0" w:tplc="1EB8C0C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1A295245"/>
    <w:multiLevelType w:val="hybridMultilevel"/>
    <w:tmpl w:val="E0605B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D464880"/>
    <w:multiLevelType w:val="hybridMultilevel"/>
    <w:tmpl w:val="22B616A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50445E6"/>
    <w:multiLevelType w:val="hybridMultilevel"/>
    <w:tmpl w:val="8ADED918"/>
    <w:lvl w:ilvl="0" w:tplc="0415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3" w15:restartNumberingAfterBreak="0">
    <w:nsid w:val="28FB5964"/>
    <w:multiLevelType w:val="hybridMultilevel"/>
    <w:tmpl w:val="2D0C696A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 w15:restartNumberingAfterBreak="0">
    <w:nsid w:val="2FEE6ACC"/>
    <w:multiLevelType w:val="hybridMultilevel"/>
    <w:tmpl w:val="E49611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0D462B"/>
    <w:multiLevelType w:val="hybridMultilevel"/>
    <w:tmpl w:val="3D403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8A131B6"/>
    <w:multiLevelType w:val="hybridMultilevel"/>
    <w:tmpl w:val="C3C631B6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3A981B54"/>
    <w:multiLevelType w:val="hybridMultilevel"/>
    <w:tmpl w:val="4268EF7A"/>
    <w:lvl w:ilvl="0" w:tplc="DC7C3A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0B5F8E"/>
    <w:multiLevelType w:val="hybridMultilevel"/>
    <w:tmpl w:val="0A944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24D52DA"/>
    <w:multiLevelType w:val="hybridMultilevel"/>
    <w:tmpl w:val="513E0A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73E3C12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B455CD9"/>
    <w:multiLevelType w:val="hybridMultilevel"/>
    <w:tmpl w:val="FB3A7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C0A6C1C"/>
    <w:multiLevelType w:val="hybridMultilevel"/>
    <w:tmpl w:val="9FC028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EC94A4E"/>
    <w:multiLevelType w:val="hybridMultilevel"/>
    <w:tmpl w:val="A57E75B8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3" w15:restartNumberingAfterBreak="0">
    <w:nsid w:val="536D3E06"/>
    <w:multiLevelType w:val="hybridMultilevel"/>
    <w:tmpl w:val="5BEE1B1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59C1C79"/>
    <w:multiLevelType w:val="hybridMultilevel"/>
    <w:tmpl w:val="1AA820B6"/>
    <w:lvl w:ilvl="0" w:tplc="DC7C3A12">
      <w:start w:val="1"/>
      <w:numFmt w:val="bullet"/>
      <w:lvlText w:val="-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5C3A6C73"/>
    <w:multiLevelType w:val="hybridMultilevel"/>
    <w:tmpl w:val="8FBE0554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6" w15:restartNumberingAfterBreak="0">
    <w:nsid w:val="5CA732B4"/>
    <w:multiLevelType w:val="hybridMultilevel"/>
    <w:tmpl w:val="ADE852D4"/>
    <w:lvl w:ilvl="0" w:tplc="1EB8C0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E287C1C"/>
    <w:multiLevelType w:val="hybridMultilevel"/>
    <w:tmpl w:val="2C52B17E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8" w15:restartNumberingAfterBreak="0">
    <w:nsid w:val="5F727579"/>
    <w:multiLevelType w:val="hybridMultilevel"/>
    <w:tmpl w:val="C3EA748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 w15:restartNumberingAfterBreak="0">
    <w:nsid w:val="637D074C"/>
    <w:multiLevelType w:val="hybridMultilevel"/>
    <w:tmpl w:val="35E614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6F17802"/>
    <w:multiLevelType w:val="hybridMultilevel"/>
    <w:tmpl w:val="8E3ACB00"/>
    <w:lvl w:ilvl="0" w:tplc="1EB8C0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A9358D4"/>
    <w:multiLevelType w:val="hybridMultilevel"/>
    <w:tmpl w:val="086EB4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94749740">
      <w:start w:val="1"/>
      <w:numFmt w:val="lowerLetter"/>
      <w:lvlText w:val="%2)"/>
      <w:lvlJc w:val="left"/>
      <w:pPr>
        <w:ind w:left="1500" w:hanging="42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B476250"/>
    <w:multiLevelType w:val="hybridMultilevel"/>
    <w:tmpl w:val="E04ED2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B9615BA"/>
    <w:multiLevelType w:val="hybridMultilevel"/>
    <w:tmpl w:val="4EE646DC"/>
    <w:lvl w:ilvl="0" w:tplc="1EB8C0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6E4241"/>
    <w:multiLevelType w:val="hybridMultilevel"/>
    <w:tmpl w:val="ED5C7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F8B5391"/>
    <w:multiLevelType w:val="hybridMultilevel"/>
    <w:tmpl w:val="51B4BDE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6"/>
  </w:num>
  <w:num w:numId="5">
    <w:abstractNumId w:val="27"/>
  </w:num>
  <w:num w:numId="6">
    <w:abstractNumId w:val="22"/>
  </w:num>
  <w:num w:numId="7">
    <w:abstractNumId w:val="21"/>
  </w:num>
  <w:num w:numId="8">
    <w:abstractNumId w:val="11"/>
  </w:num>
  <w:num w:numId="9">
    <w:abstractNumId w:val="20"/>
  </w:num>
  <w:num w:numId="10">
    <w:abstractNumId w:val="30"/>
  </w:num>
  <w:num w:numId="11">
    <w:abstractNumId w:val="16"/>
  </w:num>
  <w:num w:numId="12">
    <w:abstractNumId w:val="9"/>
  </w:num>
  <w:num w:numId="13">
    <w:abstractNumId w:val="23"/>
  </w:num>
  <w:num w:numId="14">
    <w:abstractNumId w:val="31"/>
  </w:num>
  <w:num w:numId="15">
    <w:abstractNumId w:val="29"/>
  </w:num>
  <w:num w:numId="16">
    <w:abstractNumId w:val="18"/>
  </w:num>
  <w:num w:numId="17">
    <w:abstractNumId w:val="32"/>
  </w:num>
  <w:num w:numId="18">
    <w:abstractNumId w:val="35"/>
  </w:num>
  <w:num w:numId="19">
    <w:abstractNumId w:val="34"/>
  </w:num>
  <w:num w:numId="20">
    <w:abstractNumId w:val="14"/>
  </w:num>
  <w:num w:numId="21">
    <w:abstractNumId w:val="13"/>
  </w:num>
  <w:num w:numId="22">
    <w:abstractNumId w:val="25"/>
  </w:num>
  <w:num w:numId="23">
    <w:abstractNumId w:val="8"/>
  </w:num>
  <w:num w:numId="24">
    <w:abstractNumId w:val="5"/>
  </w:num>
  <w:num w:numId="25">
    <w:abstractNumId w:val="10"/>
  </w:num>
  <w:num w:numId="26">
    <w:abstractNumId w:val="19"/>
  </w:num>
  <w:num w:numId="27">
    <w:abstractNumId w:val="12"/>
  </w:num>
  <w:num w:numId="28">
    <w:abstractNumId w:val="28"/>
  </w:num>
  <w:num w:numId="29">
    <w:abstractNumId w:val="15"/>
  </w:num>
  <w:num w:numId="30">
    <w:abstractNumId w:val="33"/>
  </w:num>
  <w:num w:numId="31">
    <w:abstractNumId w:val="0"/>
    <w:lvlOverride w:ilvl="0">
      <w:startOverride w:val="1"/>
    </w:lvlOverride>
  </w:num>
  <w:num w:numId="32">
    <w:abstractNumId w:val="24"/>
  </w:num>
  <w:num w:numId="33">
    <w:abstractNumId w:val="6"/>
  </w:num>
  <w:num w:numId="34">
    <w:abstractNumId w:val="7"/>
  </w:num>
  <w:num w:numId="35">
    <w:abstractNumId w:val="4"/>
  </w:num>
  <w:num w:numId="36">
    <w:abstractNumId w:val="1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592"/>
    <w:rsid w:val="00001CF8"/>
    <w:rsid w:val="00007C4E"/>
    <w:rsid w:val="00011380"/>
    <w:rsid w:val="00045D09"/>
    <w:rsid w:val="00050677"/>
    <w:rsid w:val="00056F3D"/>
    <w:rsid w:val="00065855"/>
    <w:rsid w:val="00082C3F"/>
    <w:rsid w:val="00085F6A"/>
    <w:rsid w:val="00090990"/>
    <w:rsid w:val="00091C1C"/>
    <w:rsid w:val="000A0290"/>
    <w:rsid w:val="000A109F"/>
    <w:rsid w:val="000A14AF"/>
    <w:rsid w:val="000A1D8F"/>
    <w:rsid w:val="000A4B87"/>
    <w:rsid w:val="000A6561"/>
    <w:rsid w:val="000B060C"/>
    <w:rsid w:val="000D3615"/>
    <w:rsid w:val="000D5652"/>
    <w:rsid w:val="000F0493"/>
    <w:rsid w:val="000F2DB8"/>
    <w:rsid w:val="00105BA1"/>
    <w:rsid w:val="00110D32"/>
    <w:rsid w:val="0011619D"/>
    <w:rsid w:val="00116BA2"/>
    <w:rsid w:val="00121A5A"/>
    <w:rsid w:val="001378CF"/>
    <w:rsid w:val="00137ECE"/>
    <w:rsid w:val="001642ED"/>
    <w:rsid w:val="001925B9"/>
    <w:rsid w:val="00193A1B"/>
    <w:rsid w:val="001948CB"/>
    <w:rsid w:val="00194E9E"/>
    <w:rsid w:val="0019565D"/>
    <w:rsid w:val="001B4510"/>
    <w:rsid w:val="001B4719"/>
    <w:rsid w:val="001C564A"/>
    <w:rsid w:val="001D7699"/>
    <w:rsid w:val="001F79D6"/>
    <w:rsid w:val="00214441"/>
    <w:rsid w:val="00236777"/>
    <w:rsid w:val="0025394C"/>
    <w:rsid w:val="0027455E"/>
    <w:rsid w:val="00281B6D"/>
    <w:rsid w:val="002A126D"/>
    <w:rsid w:val="002B6B03"/>
    <w:rsid w:val="002E12F1"/>
    <w:rsid w:val="002F0B97"/>
    <w:rsid w:val="003178B7"/>
    <w:rsid w:val="00373D22"/>
    <w:rsid w:val="0038089B"/>
    <w:rsid w:val="003A385C"/>
    <w:rsid w:val="003A5788"/>
    <w:rsid w:val="003C7A26"/>
    <w:rsid w:val="003D5F72"/>
    <w:rsid w:val="003D6934"/>
    <w:rsid w:val="003E071D"/>
    <w:rsid w:val="004149AD"/>
    <w:rsid w:val="00416CC1"/>
    <w:rsid w:val="00432744"/>
    <w:rsid w:val="00434696"/>
    <w:rsid w:val="00442911"/>
    <w:rsid w:val="004504CF"/>
    <w:rsid w:val="00461C86"/>
    <w:rsid w:val="004A4D7F"/>
    <w:rsid w:val="004B52D7"/>
    <w:rsid w:val="004C1978"/>
    <w:rsid w:val="004E7F6B"/>
    <w:rsid w:val="00511800"/>
    <w:rsid w:val="00513C09"/>
    <w:rsid w:val="00531B6A"/>
    <w:rsid w:val="00560D71"/>
    <w:rsid w:val="00563ECA"/>
    <w:rsid w:val="005829D3"/>
    <w:rsid w:val="00583E5F"/>
    <w:rsid w:val="00594BB6"/>
    <w:rsid w:val="0059789D"/>
    <w:rsid w:val="005B5CCC"/>
    <w:rsid w:val="005D27AE"/>
    <w:rsid w:val="005D4859"/>
    <w:rsid w:val="00612EA1"/>
    <w:rsid w:val="00622848"/>
    <w:rsid w:val="00622B11"/>
    <w:rsid w:val="00635916"/>
    <w:rsid w:val="006624C3"/>
    <w:rsid w:val="00666E0C"/>
    <w:rsid w:val="006677B8"/>
    <w:rsid w:val="006757DD"/>
    <w:rsid w:val="0068268E"/>
    <w:rsid w:val="006865AB"/>
    <w:rsid w:val="006936C3"/>
    <w:rsid w:val="006C402A"/>
    <w:rsid w:val="006C43CA"/>
    <w:rsid w:val="006E1913"/>
    <w:rsid w:val="006E70D3"/>
    <w:rsid w:val="00701FE3"/>
    <w:rsid w:val="00731CD0"/>
    <w:rsid w:val="00747C6E"/>
    <w:rsid w:val="00750053"/>
    <w:rsid w:val="007519E8"/>
    <w:rsid w:val="00751F8F"/>
    <w:rsid w:val="00773E10"/>
    <w:rsid w:val="00794819"/>
    <w:rsid w:val="007A0ED7"/>
    <w:rsid w:val="007B1140"/>
    <w:rsid w:val="007B4610"/>
    <w:rsid w:val="007C085A"/>
    <w:rsid w:val="007D4592"/>
    <w:rsid w:val="007D7B71"/>
    <w:rsid w:val="007F2C39"/>
    <w:rsid w:val="0082269B"/>
    <w:rsid w:val="008509E9"/>
    <w:rsid w:val="008737D8"/>
    <w:rsid w:val="00873BF1"/>
    <w:rsid w:val="00882FDD"/>
    <w:rsid w:val="008A425B"/>
    <w:rsid w:val="008A4CA1"/>
    <w:rsid w:val="008A6943"/>
    <w:rsid w:val="008B09E9"/>
    <w:rsid w:val="008B1AEC"/>
    <w:rsid w:val="008B6A87"/>
    <w:rsid w:val="008C0447"/>
    <w:rsid w:val="008C12D9"/>
    <w:rsid w:val="008C68A0"/>
    <w:rsid w:val="008D2D73"/>
    <w:rsid w:val="008D4EA6"/>
    <w:rsid w:val="008F1976"/>
    <w:rsid w:val="008F28B2"/>
    <w:rsid w:val="008F46AD"/>
    <w:rsid w:val="00912F86"/>
    <w:rsid w:val="00920DA4"/>
    <w:rsid w:val="00922769"/>
    <w:rsid w:val="00943643"/>
    <w:rsid w:val="00966E84"/>
    <w:rsid w:val="0098609B"/>
    <w:rsid w:val="009954EB"/>
    <w:rsid w:val="009B3729"/>
    <w:rsid w:val="009C2B63"/>
    <w:rsid w:val="009C43B4"/>
    <w:rsid w:val="009D6A82"/>
    <w:rsid w:val="009E59C0"/>
    <w:rsid w:val="009F1F74"/>
    <w:rsid w:val="009F78FF"/>
    <w:rsid w:val="00A2196B"/>
    <w:rsid w:val="00A34E7B"/>
    <w:rsid w:val="00A52C4E"/>
    <w:rsid w:val="00A62AA2"/>
    <w:rsid w:val="00A94AFB"/>
    <w:rsid w:val="00AD0617"/>
    <w:rsid w:val="00AD35A9"/>
    <w:rsid w:val="00AD7443"/>
    <w:rsid w:val="00B310AC"/>
    <w:rsid w:val="00B638D1"/>
    <w:rsid w:val="00B70312"/>
    <w:rsid w:val="00B91268"/>
    <w:rsid w:val="00BF0596"/>
    <w:rsid w:val="00C1066F"/>
    <w:rsid w:val="00C1660C"/>
    <w:rsid w:val="00C3192D"/>
    <w:rsid w:val="00C360BE"/>
    <w:rsid w:val="00C6347B"/>
    <w:rsid w:val="00C762A9"/>
    <w:rsid w:val="00C9114B"/>
    <w:rsid w:val="00CA186E"/>
    <w:rsid w:val="00CA4E76"/>
    <w:rsid w:val="00CB03E6"/>
    <w:rsid w:val="00CE4CF5"/>
    <w:rsid w:val="00D1688B"/>
    <w:rsid w:val="00D26DC3"/>
    <w:rsid w:val="00D27FE9"/>
    <w:rsid w:val="00D32742"/>
    <w:rsid w:val="00D3588E"/>
    <w:rsid w:val="00D35D88"/>
    <w:rsid w:val="00D363F2"/>
    <w:rsid w:val="00D468F8"/>
    <w:rsid w:val="00D7775B"/>
    <w:rsid w:val="00D85E64"/>
    <w:rsid w:val="00D8739B"/>
    <w:rsid w:val="00DA3ECC"/>
    <w:rsid w:val="00DA799F"/>
    <w:rsid w:val="00DB069B"/>
    <w:rsid w:val="00DD7343"/>
    <w:rsid w:val="00E329AF"/>
    <w:rsid w:val="00E431EB"/>
    <w:rsid w:val="00E47CF6"/>
    <w:rsid w:val="00E554AB"/>
    <w:rsid w:val="00E62CEC"/>
    <w:rsid w:val="00E6391C"/>
    <w:rsid w:val="00E90A45"/>
    <w:rsid w:val="00EA1D45"/>
    <w:rsid w:val="00EB3940"/>
    <w:rsid w:val="00EB698D"/>
    <w:rsid w:val="00EC28D0"/>
    <w:rsid w:val="00EC47C5"/>
    <w:rsid w:val="00ED7483"/>
    <w:rsid w:val="00EF2F5D"/>
    <w:rsid w:val="00F44B4E"/>
    <w:rsid w:val="00F45BF8"/>
    <w:rsid w:val="00F503B0"/>
    <w:rsid w:val="00F5340A"/>
    <w:rsid w:val="00F62356"/>
    <w:rsid w:val="00F77CCB"/>
    <w:rsid w:val="00F84715"/>
    <w:rsid w:val="00F90ABA"/>
    <w:rsid w:val="00F93BC6"/>
    <w:rsid w:val="00FB0C35"/>
    <w:rsid w:val="00FC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BA61160-8C3D-42E3-9AAE-5581CD79A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789D"/>
    <w:pPr>
      <w:widowControl w:val="0"/>
      <w:suppressAutoHyphens/>
    </w:pPr>
    <w:rPr>
      <w:rFonts w:eastAsia="Arial Unicode MS" w:cs="Tahoma"/>
      <w:kern w:val="1"/>
      <w:sz w:val="24"/>
      <w:szCs w:val="24"/>
      <w:lang w:eastAsia="hi-IN" w:bidi="hi-IN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9789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9789D"/>
    <w:pPr>
      <w:numPr>
        <w:ilvl w:val="8"/>
        <w:numId w:val="1"/>
      </w:numPr>
      <w:spacing w:before="240" w:after="60"/>
      <w:outlineLvl w:val="8"/>
    </w:pPr>
    <w:rPr>
      <w:rFonts w:ascii="Cambria" w:eastAsia="Times New Roman" w:hAnsi="Cambria" w:cs="Helvetic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locked/>
    <w:rsid w:val="00747C6E"/>
    <w:rPr>
      <w:rFonts w:eastAsia="Arial Unicode MS" w:cs="Tahoma"/>
      <w:b/>
      <w:bCs/>
      <w:kern w:val="1"/>
      <w:sz w:val="28"/>
      <w:szCs w:val="28"/>
      <w:lang w:eastAsia="hi-IN" w:bidi="hi-IN"/>
    </w:rPr>
  </w:style>
  <w:style w:type="character" w:customStyle="1" w:styleId="Nagwek9Znak">
    <w:name w:val="Nagłówek 9 Znak"/>
    <w:basedOn w:val="Domylnaczcionkaakapitu"/>
    <w:link w:val="Nagwek9"/>
    <w:uiPriority w:val="9"/>
    <w:locked/>
    <w:rsid w:val="00747C6E"/>
    <w:rPr>
      <w:rFonts w:ascii="Cambria" w:hAnsi="Cambria" w:cs="Helvetica"/>
      <w:kern w:val="1"/>
      <w:sz w:val="22"/>
      <w:szCs w:val="22"/>
      <w:lang w:eastAsia="hi-IN" w:bidi="hi-IN"/>
    </w:rPr>
  </w:style>
  <w:style w:type="character" w:customStyle="1" w:styleId="WW8Num2z0">
    <w:name w:val="WW8Num2z0"/>
    <w:rsid w:val="0059789D"/>
    <w:rPr>
      <w:rFonts w:ascii="Symbol" w:hAnsi="Symbol"/>
    </w:rPr>
  </w:style>
  <w:style w:type="character" w:customStyle="1" w:styleId="WW8Num3z0">
    <w:name w:val="WW8Num3z0"/>
    <w:rsid w:val="0059789D"/>
    <w:rPr>
      <w:rFonts w:ascii="OpenSymbol" w:eastAsia="OpenSymbol"/>
    </w:rPr>
  </w:style>
  <w:style w:type="character" w:customStyle="1" w:styleId="Absatz-Standardschriftart">
    <w:name w:val="Absatz-Standardschriftart"/>
    <w:rsid w:val="0059789D"/>
  </w:style>
  <w:style w:type="character" w:customStyle="1" w:styleId="WW-Absatz-Standardschriftart">
    <w:name w:val="WW-Absatz-Standardschriftart"/>
    <w:rsid w:val="0059789D"/>
  </w:style>
  <w:style w:type="character" w:customStyle="1" w:styleId="WW-Absatz-Standardschriftart1">
    <w:name w:val="WW-Absatz-Standardschriftart1"/>
    <w:rsid w:val="0059789D"/>
  </w:style>
  <w:style w:type="character" w:customStyle="1" w:styleId="WW-Absatz-Standardschriftart11">
    <w:name w:val="WW-Absatz-Standardschriftart11"/>
    <w:rsid w:val="0059789D"/>
  </w:style>
  <w:style w:type="character" w:styleId="Hipercze">
    <w:name w:val="Hyperlink"/>
    <w:basedOn w:val="Domylnaczcionkaakapitu"/>
    <w:uiPriority w:val="99"/>
    <w:rsid w:val="0059789D"/>
    <w:rPr>
      <w:rFonts w:cs="Times New Roman"/>
      <w:color w:val="000080"/>
      <w:u w:val="single"/>
    </w:rPr>
  </w:style>
  <w:style w:type="character" w:customStyle="1" w:styleId="WW8Num4z0">
    <w:name w:val="WW8Num4z0"/>
    <w:rsid w:val="0059789D"/>
    <w:rPr>
      <w:rFonts w:ascii="OpenSymbol" w:eastAsia="OpenSymbol"/>
    </w:rPr>
  </w:style>
  <w:style w:type="character" w:customStyle="1" w:styleId="Domylnaczcionkaakapitu1">
    <w:name w:val="Domyślna czcionka akapitu1"/>
    <w:rsid w:val="0059789D"/>
  </w:style>
  <w:style w:type="character" w:customStyle="1" w:styleId="FontStyle67">
    <w:name w:val="Font Style67"/>
    <w:basedOn w:val="Domylnaczcionkaakapitu1"/>
    <w:rsid w:val="0059789D"/>
    <w:rPr>
      <w:rFonts w:ascii="Times New Roman" w:hAnsi="Times New Roman" w:cs="Helvetica"/>
      <w:b/>
      <w:bCs/>
      <w:i/>
      <w:iCs/>
      <w:sz w:val="22"/>
      <w:szCs w:val="22"/>
    </w:rPr>
  </w:style>
  <w:style w:type="character" w:customStyle="1" w:styleId="Znakinumeracji">
    <w:name w:val="Znaki numeracji"/>
    <w:rsid w:val="0059789D"/>
  </w:style>
  <w:style w:type="paragraph" w:customStyle="1" w:styleId="Nagwek1">
    <w:name w:val="Nagłówek1"/>
    <w:basedOn w:val="Normalny"/>
    <w:next w:val="Tekstpodstawowy"/>
    <w:rsid w:val="0059789D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9789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747C6E"/>
    <w:rPr>
      <w:rFonts w:eastAsia="Arial Unicode MS" w:cs="Mangal"/>
      <w:kern w:val="1"/>
      <w:sz w:val="21"/>
      <w:szCs w:val="21"/>
      <w:lang w:eastAsia="hi-IN" w:bidi="hi-IN"/>
    </w:rPr>
  </w:style>
  <w:style w:type="paragraph" w:styleId="Lista">
    <w:name w:val="List"/>
    <w:basedOn w:val="Tekstpodstawowy"/>
    <w:uiPriority w:val="99"/>
    <w:rsid w:val="0059789D"/>
  </w:style>
  <w:style w:type="paragraph" w:customStyle="1" w:styleId="Podpis1">
    <w:name w:val="Podpis1"/>
    <w:basedOn w:val="Normalny"/>
    <w:rsid w:val="0059789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59789D"/>
    <w:pPr>
      <w:suppressLineNumbers/>
    </w:pPr>
  </w:style>
  <w:style w:type="paragraph" w:customStyle="1" w:styleId="WW-Tekstpodstawowy2">
    <w:name w:val="WW-Tekst podstawowy 2"/>
    <w:basedOn w:val="Normalny"/>
    <w:rsid w:val="0059789D"/>
    <w:pPr>
      <w:autoSpaceDE w:val="0"/>
      <w:spacing w:line="360" w:lineRule="auto"/>
      <w:jc w:val="both"/>
    </w:pPr>
    <w:rPr>
      <w:color w:val="000000"/>
    </w:rPr>
  </w:style>
  <w:style w:type="paragraph" w:customStyle="1" w:styleId="Tekstpodstawowy31">
    <w:name w:val="Tekst podstawowy 31"/>
    <w:basedOn w:val="Normalny"/>
    <w:rsid w:val="0059789D"/>
    <w:rPr>
      <w:b/>
      <w:sz w:val="28"/>
    </w:rPr>
  </w:style>
  <w:style w:type="paragraph" w:customStyle="1" w:styleId="Tekstpodstawowy21">
    <w:name w:val="Tekst podstawowy 21"/>
    <w:basedOn w:val="Normalny"/>
    <w:rsid w:val="0059789D"/>
    <w:pPr>
      <w:ind w:right="330"/>
      <w:jc w:val="center"/>
    </w:pPr>
    <w:rPr>
      <w:sz w:val="32"/>
      <w:szCs w:val="28"/>
    </w:rPr>
  </w:style>
  <w:style w:type="paragraph" w:customStyle="1" w:styleId="Zawartotabeli">
    <w:name w:val="Zawartość tabeli"/>
    <w:basedOn w:val="Normalny"/>
    <w:rsid w:val="0059789D"/>
    <w:pPr>
      <w:suppressLineNumbers/>
    </w:pPr>
  </w:style>
  <w:style w:type="paragraph" w:customStyle="1" w:styleId="Nagwektabeli">
    <w:name w:val="Nagłówek tabeli"/>
    <w:basedOn w:val="Zawartotabeli"/>
    <w:rsid w:val="0059789D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2E12F1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05067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50677"/>
    <w:rPr>
      <w:rFonts w:eastAsia="Arial Unicode MS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05067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50677"/>
    <w:rPr>
      <w:rFonts w:eastAsia="Arial Unicode MS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7483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7483"/>
    <w:rPr>
      <w:rFonts w:ascii="Segoe UI" w:eastAsia="Arial Unicode MS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26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8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268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6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6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3268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47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94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32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87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87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3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65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27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767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47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23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5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692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367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144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36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783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444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503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557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2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289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42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0071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41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162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21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901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6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446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62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879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267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803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80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99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77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14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138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03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3170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48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13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C1D994-A68C-4708-AE56-63BAD2834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3584</Words>
  <Characters>21507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ZGM</dc:creator>
  <cp:keywords/>
  <dc:description/>
  <cp:lastModifiedBy>Wioletta</cp:lastModifiedBy>
  <cp:revision>19</cp:revision>
  <cp:lastPrinted>2016-10-18T09:20:00Z</cp:lastPrinted>
  <dcterms:created xsi:type="dcterms:W3CDTF">2016-06-14T11:17:00Z</dcterms:created>
  <dcterms:modified xsi:type="dcterms:W3CDTF">2016-10-18T09:24:00Z</dcterms:modified>
</cp:coreProperties>
</file>