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96"/>
        <w:gridCol w:w="900"/>
      </w:tblGrid>
      <w:tr w:rsidR="00733747" w:rsidRPr="00733747" w:rsidTr="00733747">
        <w:trPr>
          <w:tblCellSpacing w:w="0" w:type="dxa"/>
        </w:trPr>
        <w:tc>
          <w:tcPr>
            <w:tcW w:w="0" w:type="auto"/>
            <w:vAlign w:val="center"/>
            <w:hideMark/>
          </w:tcPr>
          <w:p w:rsidR="00733747" w:rsidRPr="00733747" w:rsidRDefault="00733747" w:rsidP="00733747">
            <w:pPr>
              <w:widowControl/>
              <w:suppressAutoHyphens w:val="0"/>
              <w:spacing w:before="100" w:beforeAutospacing="1" w:after="100" w:afterAutospacing="1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Adres strony internetowej, na której zamieszczona będzie specyfikacja istotnych warunków zamówienia (jeżeli dotyczy): </w:t>
            </w:r>
            <w:r>
              <w:rPr>
                <w:rFonts w:eastAsia="Times New Roman" w:cs="Times New Roman"/>
                <w:kern w:val="0"/>
                <w:lang w:eastAsia="pl-PL" w:bidi="ar-SA"/>
              </w:rPr>
              <w:t>bip.miastopuck.pl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Ogłoszenie nr 325780 - 2016 z dnia 2016-10-18 r. </w:t>
            </w:r>
          </w:p>
          <w:p w:rsidR="00733747" w:rsidRPr="00733747" w:rsidRDefault="00733747" w:rsidP="00733747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Puck: Modernizacja budynków komunalnych -budynek ul.10 Lutego 31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OGŁOSZENIE O ZAMÓWIENIU - Roboty budowlane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Zamieszczanie ogłoszenia: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 obowiązkowe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Ogłoszenie dotyczy: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 zamówienia publicznego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Zamówienie dotyczy projektu lub programu współfinansowanego ze środków Unii Europejskiej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nie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Nazwa projektu lub programu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nie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Należy podać minimalny procentowy wskaźnik zatrudnienia osób należących do jednej lub więcej kategorii, o których mowa w art. 22 ust. 2 ustawy </w:t>
            </w:r>
            <w:proofErr w:type="spellStart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Pzp</w:t>
            </w:r>
            <w:proofErr w:type="spellEnd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, nie mniejszy niż 30%, osób zatrudnionych przez zakłady pracy chronionej lub wykonawców albo ich jednostki (w %)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u w:val="single"/>
                <w:lang w:eastAsia="pl-PL" w:bidi="ar-SA"/>
              </w:rPr>
              <w:t>SEKCJA I: ZAMAWIAJĄCY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Postępowanie przeprowadza centralny zamawiający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nie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Postępowanie przeprowadza podmiot, któremu zamawiający powierzył/powierzyli przeprowadzenie postępowania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nie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Informacje na temat podmiotu któremu zamawiający powierzył/powierzyli prowadzenie postępowania: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Postępowanie jest przeprowadzane wspólnie przez zamawiających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nie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Jeżeli tak, należy wymienić zamawiających, którzy wspólnie przeprowadzają postępowanie oraz podać adresy ich siedzib, krajowe numery identyfikacyjne oraz osoby do kontaktów wraz z danymi do kontaktów: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Postępowanie jest przeprowadzane wspólnie z zamawiającymi z innych państw członkowskich Unii Europejskiej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nie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W przypadku przeprowadzania postępowania wspólnie z zamawiającymi z innych państw członkowskich Unii Europejskiej – mające zastosowanie krajowe prawo zamówień publicznych: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Informacje dodatkowe:</w:t>
            </w:r>
          </w:p>
          <w:p w:rsidR="00733747" w:rsidRPr="00733747" w:rsidRDefault="00733747" w:rsidP="00733747">
            <w:pPr>
              <w:widowControl/>
              <w:suppressAutoHyphens w:val="0"/>
              <w:spacing w:after="24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I. 1) NAZWA I ADRES: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Gmina Miasta Puck, krajowy numer identyfikacyjny 52624500000, ul. ul. 1 Maja  13, 84100   Puck, woj. pomorskie, państwo Polska, tel. 58 6730500, 6730534, e-mail , faks 586 730 533.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Adres strony internetowej (URL):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lastRenderedPageBreak/>
              <w:t xml:space="preserve">I. 2) RODZAJ ZAMAWIAJĄCEGO: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Administracja samorządowa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I.3) WSPÓLNE UDZIELANIE ZAMÓWIENIA </w:t>
            </w:r>
            <w:r w:rsidRPr="00733747">
              <w:rPr>
                <w:rFonts w:eastAsia="Times New Roman" w:cs="Times New Roman"/>
                <w:b/>
                <w:bCs/>
                <w:i/>
                <w:iCs/>
                <w:kern w:val="0"/>
                <w:lang w:eastAsia="pl-PL" w:bidi="ar-SA"/>
              </w:rPr>
              <w:t>(jeżeli dotyczy)</w:t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I.4) KOMUNIKACJA: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Nieograniczony, pełny i bezpośredni dostęp do dokumentów z postępowania można uzyskać pod adresem (URL)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nie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Adres strony internetowej, na której zamieszczona będzie specyfikacja istotnych warunków zamówienia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nie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Dostęp do dokumentów z postępowania jest ograniczony - więcej informacji można uzyskać pod adresem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nie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Oferty lub wnioski o dopuszczenie do udziału w postępowaniu należy przesyłać: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Elektronicznie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adres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Dopuszczone jest przesłanie ofert lub wniosków o dopuszczenie do udziału w postępowaniu w inny sposób: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Wymagane jest przesłanie ofert lub wniosków o dopuszczenie do udziału w postępowaniu w inny sposób: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Adres: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Komunikacja elektroniczna wymaga korzystania z narzędzi i urządzeń lub formatów plików, które nie są ogólnie dostępne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Nieograniczony, pełny, bezpośredni i bezpłatny dostęp do tych narzędzi można uzyskać pod adresem: (URL)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u w:val="single"/>
                <w:lang w:eastAsia="pl-PL" w:bidi="ar-SA"/>
              </w:rPr>
              <w:t xml:space="preserve">SEKCJA II: PRZEDMIOT ZAMÓWIENIA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II.1) Nazwa nadana zamówieniu przez zamawiającego: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Modernizacja budynków komunalnych -budynek ul.10 Lutego 31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Numer referencyjny: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RGKiM.271.24.2016WK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Przed wszczęciem postępowania o udzielenie zamówienia przeprowadzono dialog techniczny </w:t>
            </w:r>
          </w:p>
          <w:p w:rsidR="00733747" w:rsidRPr="00733747" w:rsidRDefault="00733747" w:rsidP="00733747">
            <w:pPr>
              <w:widowControl/>
              <w:suppressAutoHyphens w:val="0"/>
              <w:jc w:val="both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nie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II.2) Rodzaj zamówienia: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roboty budowlane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II.3) Informacja o możliwości składania ofert częściowych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Zamówienie podzielone jest na części: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lastRenderedPageBreak/>
              <w:t xml:space="preserve">Nie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II.4) Krótki opis przedmiotu zamówienia </w:t>
            </w:r>
            <w:r w:rsidRPr="00733747">
              <w:rPr>
                <w:rFonts w:eastAsia="Times New Roman" w:cs="Times New Roman"/>
                <w:i/>
                <w:iCs/>
                <w:kern w:val="0"/>
                <w:lang w:eastAsia="pl-PL" w:bidi="ar-SA"/>
              </w:rPr>
              <w:t>(wielkość, zakres, rodzaj i ilość dostaw, usług lub robót budowlanych lub określenie zapotrzebowania i wymagań )</w:t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 a w przypadku partnerstwa innowacyjnego - określenie zapotrzebowania na innowacyjny produkt, usługę lub roboty budowlane: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1. Przedmiotem zamówienia jest wykonanie robót elektrycznych w zakresie remontu instalacji elektrycznej i teletechnicznej klatek schodowych „B” ; „C” oraz lokalu użytkowego w budynku mieszkalnym wielorodzinnym zlokalizowanym w Pucku przy ulicy 10-go Lutego 31. W ramach prac remontowych przewiduje się wykonanie następujących robót elektrycznych: - przygotowanie ścian pod ułożenie przewodów (wykucie bruzd, przewierty przez ściany i stropy), - wykucie otworów w ścianach pod rozdzielnice elektryczne, - remont instalacji oświetlenia klatek schodowych „B” i „C”, - remont instalacji zasilającej lokale mieszkalne w klatkach schodowych „B” i „C”, - remont instalacji teletechnicznej dla lokali mieszkalnych w klatkach schodowych „B” i „C”, - wykonanie mufy kablowej ZRM-2 dla </w:t>
            </w:r>
            <w:proofErr w:type="spellStart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wlz</w:t>
            </w:r>
            <w:proofErr w:type="spellEnd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-tu klatki „C”, - remont instalacji elektrycznej w lokalu użytkowym, - montaż listwy GSW, - wykonanie uziemienia przewodu PEN i listwy wyrównawczej, - układanie rurek PCV, - remont instalacji elektrycznej poddasza klatki schodowej „B” i „C”, - montaż puszek łączeniowych, - montaż rozdzielnicy RA-3 w klatce schodowej „C” budynku, - demontaż starych tablic, osprzętu elektrycznego, - zatynkowanie bruzd z przewodami, - wykonanie badań i pomiarów : izolacji przewodów, skuteczności ochrony przeciwporażeniowej, uziemień instalacji ochronnej, ciągłości przewodów ochronnych oraz badanie wyłącznika różnicowo-prądowego, zadziałania wyłącznika p.poż, - wszystkie inne nie wymienione wyżej roboty elektryczne, jakie występują przy realizacji umowy. Rozwiązania techniczne stanowiące załącznik do wykonania tych robót są przedstawione na rysunkach. 2. Szczegółowy zakres opracowania zawarty został w dokumentacji projektowej. Wszędzie tam, gdzie przy opisie przedmiotu zamówienia lub w dokumentacji powołane są normy, aprobaty, specyfikacje techniczne i systemy odniesienia bądź wskazane są znaki towarowe, parametry lub źródła pochodzenia (nazwy producentów lub urządzeń), postanowienia te należy traktować jako przykładowe, a Wykonawca ma każdorazowo prawo zastosowania rozwiązania równoważnego z zastrzeżeniem, iż zaproponowane rozwiązania równoważne muszą spełniać co najmniej założenia projektowe. 3. Wykonawca, który wygra przetarg przed podpisaniem umowy zobowiązuje się dołączyć kosztorys ofertowy w formie uproszczonej, który musi zawierać: liczbę porządkową pozycji, podstawę wyceny, ilości, tabelę elementów scalonych oraz zbiorcze zestawienie robocizny, materiałów i sprzętu. 4. Na wykonane roboty budowlane okres gwarancji wynosi minimum 36 miesięcy od dnia odbioru przez Zamawiającego robot budowlanych i podpisania (bez uwag) protokołu odbioru końcowego.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II.5) Główny kod CPV: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45000000-7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Dodatkowe kody CPV: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45210000-2, 45310000-3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II.6) Całkowita wartość zamówienia </w:t>
            </w:r>
            <w:r w:rsidRPr="00733747">
              <w:rPr>
                <w:rFonts w:eastAsia="Times New Roman" w:cs="Times New Roman"/>
                <w:i/>
                <w:iCs/>
                <w:kern w:val="0"/>
                <w:lang w:eastAsia="pl-PL" w:bidi="ar-SA"/>
              </w:rPr>
              <w:t>(jeżeli zamawiający podaje informacje o wartości zamówienia)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Wartość bez VAT: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Waluta: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i/>
                <w:iCs/>
                <w:kern w:val="0"/>
                <w:lang w:eastAsia="pl-PL" w:bidi="ar-SA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lastRenderedPageBreak/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II.7) Czy przewiduje się udzielenie zamówień, o których mowa w art. 67 ust. 1 pkt 6 i 7 lub w art. 134 ust. 6 pkt 3 ustawy </w:t>
            </w:r>
            <w:proofErr w:type="spellStart"/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Pzp</w:t>
            </w:r>
            <w:proofErr w:type="spellEnd"/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tak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Określenie przedmiotu, wielkości lub zakresu oraz warunków na jakich zostaną udzielone zamówienia, o których mowa w art. 67 ust. 1 pkt 6 lub w art. 134 ust. 6 pkt 3 ustawy </w:t>
            </w:r>
            <w:proofErr w:type="spellStart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Pzp</w:t>
            </w:r>
            <w:proofErr w:type="spellEnd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: </w:t>
            </w:r>
            <w:proofErr w:type="spellStart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Zamawiajcy</w:t>
            </w:r>
            <w:proofErr w:type="spellEnd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 przewiduje udzielenie, w okresie 3 lat od udzielenia zamówienia podstawowego, dotychczasowemu wykonawcy robót budowlanych, zamówienia polegającego na powtórzeniu podobnych robót budowlanych, jeżeli takie zamówienie było przewidziane w ogłoszeniu o zamówieniu dla zamówienia podstawowego i jest zgodne z jego przedmiotem oraz całkowita wartość tego zamówienia została uwzględniona przy obliczeniu jego wartości.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II.8) Okres, w którym realizowane będzie zamówienie lub okres, na który została zawarta umowa ramowa lub okres, na który został ustanowiony dynamiczny system zakupów: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data zakończenia: 30/11/2016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II.9) Informacje dodatkowe: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u w:val="single"/>
                <w:lang w:eastAsia="pl-PL" w:bidi="ar-SA"/>
              </w:rPr>
              <w:t xml:space="preserve">SEKCJA III: INFORMACJE O CHARAKTERZE PRAWNYM, EKONOMICZNYM, FINANSOWYM I TECHNICZNYM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III.1) WARUNKI UDZIAŁU W POSTĘPOWANIU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III.1.1) Kompetencje lub uprawnienia do prowadzenia określonej działalności zawodowej, o ile wynika to z odrębnych przepisów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>Określenie warunków: Zamawiający nie określa warunku.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Informacje dodatkowe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III.1.2) Sytuacja finansowa lub ekonomiczna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Określenie warunków: Wykonawca spełni warunek jeżeli wykaże, że jest ubezpieczony od odpowiedzialności cywilnej w zakresie prowadzonej działalności związanej z przedmiotem zamówienia.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Informacje dodatkowe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III.1.3) Zdolność techniczna lub zawodowa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Określenie warunków: Wykonawca spełni warunek jeżeli wykaże, że </w:t>
            </w:r>
            <w:proofErr w:type="spellStart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dysponuje:Kierownikiem</w:t>
            </w:r>
            <w:proofErr w:type="spellEnd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 robót branży elektrycznej.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Informacje dodatkowe: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III.2) PODSTAWY WYKLUCZENIA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III.2.1) Podstawy wykluczenia określone w art. 24 ust. 1 ustawy </w:t>
            </w:r>
            <w:proofErr w:type="spellStart"/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Pzp</w:t>
            </w:r>
            <w:proofErr w:type="spellEnd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III.2.2) Zamawiający przewiduje wykluczenie wykonawcy na podstawie art. 24 ust. 5 ustawy </w:t>
            </w:r>
            <w:proofErr w:type="spellStart"/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Pzp</w:t>
            </w:r>
            <w:proofErr w:type="spellEnd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 tak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Zamawiający przewiduje następujące fakultatywne podstawy wykluczenia: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(podstawa wykluczenia określona w art. 24 ust. 5 pkt 1 ustawy </w:t>
            </w:r>
            <w:proofErr w:type="spellStart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Pzp</w:t>
            </w:r>
            <w:proofErr w:type="spellEnd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)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(podstawa wykluczenia określona w art. 24 ust. 5 pkt 2 ustawy </w:t>
            </w:r>
            <w:proofErr w:type="spellStart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Pzp</w:t>
            </w:r>
            <w:proofErr w:type="spellEnd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)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(podstawa wykluczenia określona w art. 24 ust. 5 pkt 3 ustawy </w:t>
            </w:r>
            <w:proofErr w:type="spellStart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Pzp</w:t>
            </w:r>
            <w:proofErr w:type="spellEnd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)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(podstawa wykluczenia określona w art. 24 ust. 5 pkt 4 ustawy </w:t>
            </w:r>
            <w:proofErr w:type="spellStart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Pzp</w:t>
            </w:r>
            <w:proofErr w:type="spellEnd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)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(podstawa wykluczenia określona w art. 24 ust. 5 pkt 5 ustawy </w:t>
            </w:r>
            <w:proofErr w:type="spellStart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Pzp</w:t>
            </w:r>
            <w:proofErr w:type="spellEnd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)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(podstawa wykluczenia określona w art. 24 ust. 5 pkt 6 ustawy </w:t>
            </w:r>
            <w:proofErr w:type="spellStart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Pzp</w:t>
            </w:r>
            <w:proofErr w:type="spellEnd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)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(podstawa wykluczenia określona w art. 24 ust. 5 pkt 7 ustawy </w:t>
            </w:r>
            <w:proofErr w:type="spellStart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Pzp</w:t>
            </w:r>
            <w:proofErr w:type="spellEnd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)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(podstawa wykluczenia określona w art. 24 ust. 5 pkt 8 ustawy </w:t>
            </w:r>
            <w:proofErr w:type="spellStart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Pzp</w:t>
            </w:r>
            <w:proofErr w:type="spellEnd"/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)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III.3) WYKAZ OŚWIADCZEŃ SKŁADANYCH PRZEZ WYKONAWCĘ W CELU WSTĘPNEGO POTWIERDZENIA, ŻE NIE PODLEGA ON </w:t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lastRenderedPageBreak/>
              <w:t xml:space="preserve">WYKLUCZENIU ORAZ SPEŁNIA WARUNKI UDZIAŁU W POSTĘPOWANIU ORAZ SPEŁNIA KRYTERIA SELEKCJI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Oświadczenie o niepodleganiu wykluczeniu oraz spełnianiu warunków udziału w postępowaniu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tak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Oświadczenie o spełnianiu kryteriów selekcji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nie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III.4) WYKAZ OŚWIADCZEŃ LUB DOKUMENTÓW , SKŁADANYCH PRZEZ WYKONAWCĘ W POSTĘPOWANIU NA WEZWANIE ZAMAWIAJACEGO W CELU POTWIERDZENIA OKOLICZNOŚCI, O KTÓRYCH MOWA W ART. 25 UST. 1 PKT 3 USTAWY PZP: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Do oferty każdy wykonawca musi dołączyć aktualne na dzień składania ofert oświadczenie w zakresie wskazanym w załączniku nr 3 do SIWZ. Informacje zawarte w oświadczeniu będą stanowić wstępne potwierdzenie, że wykonawca nie podlega wykluczeniu oraz spełnia warunki udziału w postępowaniu.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III.5) WYKAZ OŚWIADCZEŃ LUB DOKUMENTÓW SKŁADANYCH PRZEZ WYKONAWCĘ W POSTĘPOWANIU NA WEZWANIE ZAMAWIAJACEGO W CELU POTWIERDZENIA OKOLICZNOŚCI, O KTÓRYCH MOWA W ART. 25 UST. 1 PKT 1 USTAWY PZP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III.5.1) W ZAKRESIE SPEŁNIANIA WARUNKÓW UDZIAŁU W POSTĘPOWANIU: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a)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Wraz z oświadczeniem na temat wykształcenia i kwalifikacji zawodowych wykonawcy lub kadry kierowniczej wykonawcy. b) Dokument potwierdzający, że Wykonawca jest ubezpieczony od odpowiedzialności cywilnej w zakresie prowadzonej działalności związanej z przedmiotem zamówienia.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III.5.2) W ZAKRESIE KRYTERIÓW SELEKCJI: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III.6) WYKAZ OŚWIADCZEŃ LUB DOKUMENTÓW SKŁADANYCH PRZEZ WYKONAWCĘ W POSTĘPOWANIU NA WEZWANIE ZAMAWIAJACEGO W CELU POTWIERDZENIA OKOLICZNOŚCI, O KTÓRYCH MOWA W ART. 25 UST. 1 PKT 2 USTAWY PZP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III.7) INNE DOKUMENTY NIE WYMIENIONE W pkt III.3) - III.6)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u w:val="single"/>
                <w:lang w:eastAsia="pl-PL" w:bidi="ar-SA"/>
              </w:rPr>
              <w:t xml:space="preserve">SEKCJA IV: PROCEDURA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IV.1) OPIS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IV.1.1) Tryb udzielenia zamówienia: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przetarg nieograniczony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IV.1.2) Zamawiający żąda wniesienia wadium: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tak,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Informacja na temat wadium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>1. Wykonawca zobowiązany jest wnieść wadium w wysokości 800,00 PLN (słownie: osiemset złotych 00/100) przed upływem terminu składania ofert. 2. Wadium może być wniesione w: 1) pieniądzu; 2) poręczeniach bankowych, lub poręczeniach spółdzielczej kasy oszczędnościowo-kredytowej, z tym, że poręczenie kasy jest zawsze poręczeniem pieniężnym; 3) gwarancjach bankowych; 4) gwarancjach ubezpieczeniowych; 5) poręczeniach udzielanych przez podmioty, o których mowa w art. 6b ust. 5 pkt 2 ustawy z dnia 9 listopada 2000r. o utworzeniu Polskiej Agencji Rozwoju Przedsiębiorczości (Dz. U. z 2014 r. poz. 1804). Wadium wnoszone w formie gwarancji lub poręczeń musi być złożone w oryginale przed upływem terminu składania ofert w Referacie Finansowo-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lastRenderedPageBreak/>
              <w:t xml:space="preserve">Budżetowym Urzędu Miasta w Pucku, 84-100 Puck, ul. 1 Maja 13, pokój nr 213. Gwarancje bankowe, ubezpieczeniowe lub poręczenia winny posiadać ważność od dnia otwarcia ofert. Wadium, niezależnie od formy wniesienia, podlega prawu polskiemu. Wykonawcy - wnosząc wadium - powinni zawsze podawać numer sprawy (przetargu) oraz nazwę zamówienia. 3. Wadium w formie pieniądza należy wnieść przelewem na konto w Banku Millennium S. A. nr rachunku 22 1160 2202 0000 0001 6285 3611, z dopiskiem na przelewie: „Wadium w postępowaniu RGKiM.271.23.2016.WK na Przygotowanie dokumentacji projektowo-kosztorysowej w celu realizacji projektu pn.: Modernizacja budynków komunalnych – budynek ul. 10 Lutego 31. 4. Skuteczne wniesienie wadium w pieniądzu następuje z chwilą uznania środków pieniężnych na rachunku bankowym Zamawiającego, o którym mowa w rozdz. VIII. 3 niniejszej SIWZ, przed upływem terminu składania ofert (tj. przed upływem dnia i godziny wyznaczonej jako ostateczny termin składania ofert).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IV.1.3) Przewiduje się udzielenie zaliczek na poczet wykonania zamówienia: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nie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IV.1.4) Wymaga się złożenia ofert w postaci katalogów elektronicznych lub dołączenia do ofert katalogów elektronicznych: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Dopuszcza się złożenie ofert w postaci katalogów elektronicznych lub dołączenia do ofert katalogów elektronicznych: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Informacje dodatkowe: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IV.1.5.) Wymaga się złożenia oferty wariantowej: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Dopuszcza się złożenie oferty wariantowej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Złożenie oferty wariantowej dopuszcza się tylko z jednoczesnym złożeniem oferty zasadniczej: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nie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IV.1.6) Przewidywana liczba wykonawców, którzy zostaną zaproszeni do udziału w postępowaniu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i/>
                <w:iCs/>
                <w:kern w:val="0"/>
                <w:lang w:eastAsia="pl-PL" w:bidi="ar-SA"/>
              </w:rPr>
              <w:t xml:space="preserve">(przetarg ograniczony, negocjacje z ogłoszeniem, dialog konkurencyjny, partnerstwo innowacyjne)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>Liczba wykonawców  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Przewidywana minimalna liczba wykonawców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>Maksymalna liczba wykonawców  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Kryteria selekcji wykonawców: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IV.1.7) Informacje na temat umowy ramowej lub dynamicznego systemu zakupów: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Umowa ramowa będzie zawarta: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Czy przewiduje się ograniczenie liczby uczestników umowy ramowej: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Informacje dodatkowe: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Zamówienie obejmuje ustanowienie dynamicznego systemu zakupów: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Informacje dodatkowe: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lastRenderedPageBreak/>
              <w:br/>
              <w:t xml:space="preserve">W ramach umowy ramowej/dynamicznego systemu zakupów dopuszcza się złożenie ofert w formie katalogów elektronicznych: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Przewiduje się pobranie ze złożonych katalogów elektronicznych informacji potrzebnych do sporządzenia ofert w ramach umowy ramowej/dynamicznego systemu zakupów: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nie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IV.1.8) Aukcja elektroniczna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Przewidziane jest przeprowadzenie aukcji elektronicznej </w:t>
            </w:r>
            <w:r w:rsidRPr="00733747">
              <w:rPr>
                <w:rFonts w:eastAsia="Times New Roman" w:cs="Times New Roman"/>
                <w:i/>
                <w:iCs/>
                <w:kern w:val="0"/>
                <w:lang w:eastAsia="pl-PL" w:bidi="ar-SA"/>
              </w:rPr>
              <w:t xml:space="preserve">(przetarg nieograniczony, przetarg ograniczony, negocjacje z ogłoszeniem)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Należy wskazać elementy, których wartości będą przedmiotem aukcji elektronicznej: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Przewiduje się ograniczenia co do przedstawionych wartości, wynikające z opisu przedmiotu zamówienia: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Należy podać, które informacje zostaną udostępnione wykonawcom w trakcie aukcji elektronicznej oraz jaki będzie termin ich udostępnienia: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Informacje dotyczące przebiegu aukcji elektronicznej: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Jaki jest przewidziany sposób postępowania w toku aukcji elektronicznej i jakie będą warunki, na jakich wykonawcy będą mogli licytować (minimalne wysokości postąpień):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Informacje dotyczące wykorzystywanego sprzętu elektronicznego, rozwiązań i specyfikacji technicznych w zakresie połączeń: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Wymagania dotyczące rejestracji i identyfikacji wykonawców w aukcji elektronicznej: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Informacje o liczbie etapów aukcji elektronicznej i czasie ich trwania: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Aukcja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35"/>
              <w:gridCol w:w="1848"/>
            </w:tblGrid>
            <w:tr w:rsidR="00733747" w:rsidRPr="00733747" w:rsidTr="0073374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33747" w:rsidRPr="00733747" w:rsidRDefault="00733747" w:rsidP="00733747">
                  <w:pPr>
                    <w:widowControl/>
                    <w:suppressAutoHyphens w:val="0"/>
                    <w:rPr>
                      <w:rFonts w:eastAsia="Times New Roman" w:cs="Times New Roman"/>
                      <w:kern w:val="0"/>
                      <w:lang w:eastAsia="pl-PL" w:bidi="ar-SA"/>
                    </w:rPr>
                  </w:pPr>
                  <w:r w:rsidRPr="00733747">
                    <w:rPr>
                      <w:rFonts w:eastAsia="Times New Roman" w:cs="Times New Roman"/>
                      <w:kern w:val="0"/>
                      <w:lang w:eastAsia="pl-PL" w:bidi="ar-SA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33747" w:rsidRPr="00733747" w:rsidRDefault="00733747" w:rsidP="00733747">
                  <w:pPr>
                    <w:widowControl/>
                    <w:suppressAutoHyphens w:val="0"/>
                    <w:rPr>
                      <w:rFonts w:eastAsia="Times New Roman" w:cs="Times New Roman"/>
                      <w:kern w:val="0"/>
                      <w:lang w:eastAsia="pl-PL" w:bidi="ar-SA"/>
                    </w:rPr>
                  </w:pPr>
                  <w:r w:rsidRPr="00733747">
                    <w:rPr>
                      <w:rFonts w:eastAsia="Times New Roman" w:cs="Times New Roman"/>
                      <w:kern w:val="0"/>
                      <w:lang w:eastAsia="pl-PL" w:bidi="ar-SA"/>
                    </w:rPr>
                    <w:t>czas trwania etapu</w:t>
                  </w:r>
                </w:p>
              </w:tc>
            </w:tr>
            <w:tr w:rsidR="00733747" w:rsidRPr="00733747" w:rsidTr="0073374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33747" w:rsidRPr="00733747" w:rsidRDefault="00733747" w:rsidP="00733747">
                  <w:pPr>
                    <w:widowControl/>
                    <w:suppressAutoHyphens w:val="0"/>
                    <w:rPr>
                      <w:rFonts w:eastAsia="Times New Roman" w:cs="Times New Roman"/>
                      <w:kern w:val="0"/>
                      <w:lang w:eastAsia="pl-PL" w:bidi="ar-S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33747" w:rsidRPr="00733747" w:rsidRDefault="00733747" w:rsidP="00733747">
                  <w:pPr>
                    <w:widowControl/>
                    <w:suppressAutoHyphens w:val="0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pl-PL" w:bidi="ar-SA"/>
                    </w:rPr>
                  </w:pPr>
                </w:p>
              </w:tc>
            </w:tr>
          </w:tbl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Czy wykonawcy, którzy nie złożyli nowych postąpień, zostaną zakwalifikowani do następnego etapu: 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Warunki zamknięcia aukcji elektronicznej: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IV.2) KRYTERIA OCENY OFERT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IV.2.1) Kryteria oceny ofert: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IV.2.2) Kryteria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15"/>
              <w:gridCol w:w="1049"/>
            </w:tblGrid>
            <w:tr w:rsidR="00733747" w:rsidRPr="00733747" w:rsidTr="0073374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33747" w:rsidRPr="00733747" w:rsidRDefault="00733747" w:rsidP="00733747">
                  <w:pPr>
                    <w:widowControl/>
                    <w:suppressAutoHyphens w:val="0"/>
                    <w:rPr>
                      <w:rFonts w:eastAsia="Times New Roman" w:cs="Times New Roman"/>
                      <w:kern w:val="0"/>
                      <w:lang w:eastAsia="pl-PL" w:bidi="ar-SA"/>
                    </w:rPr>
                  </w:pPr>
                  <w:r w:rsidRPr="00733747">
                    <w:rPr>
                      <w:rFonts w:eastAsia="Times New Roman" w:cs="Times New Roman"/>
                      <w:i/>
                      <w:iCs/>
                      <w:kern w:val="0"/>
                      <w:lang w:eastAsia="pl-PL" w:bidi="ar-SA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33747" w:rsidRPr="00733747" w:rsidRDefault="00733747" w:rsidP="00733747">
                  <w:pPr>
                    <w:widowControl/>
                    <w:suppressAutoHyphens w:val="0"/>
                    <w:rPr>
                      <w:rFonts w:eastAsia="Times New Roman" w:cs="Times New Roman"/>
                      <w:kern w:val="0"/>
                      <w:lang w:eastAsia="pl-PL" w:bidi="ar-SA"/>
                    </w:rPr>
                  </w:pPr>
                  <w:r w:rsidRPr="00733747">
                    <w:rPr>
                      <w:rFonts w:eastAsia="Times New Roman" w:cs="Times New Roman"/>
                      <w:i/>
                      <w:iCs/>
                      <w:kern w:val="0"/>
                      <w:lang w:eastAsia="pl-PL" w:bidi="ar-SA"/>
                    </w:rPr>
                    <w:t>Znaczenie</w:t>
                  </w:r>
                </w:p>
              </w:tc>
            </w:tr>
            <w:tr w:rsidR="00733747" w:rsidRPr="00733747" w:rsidTr="0073374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33747" w:rsidRPr="00733747" w:rsidRDefault="00733747" w:rsidP="00733747">
                  <w:pPr>
                    <w:widowControl/>
                    <w:suppressAutoHyphens w:val="0"/>
                    <w:rPr>
                      <w:rFonts w:eastAsia="Times New Roman" w:cs="Times New Roman"/>
                      <w:kern w:val="0"/>
                      <w:lang w:eastAsia="pl-PL" w:bidi="ar-SA"/>
                    </w:rPr>
                  </w:pPr>
                  <w:r w:rsidRPr="00733747">
                    <w:rPr>
                      <w:rFonts w:eastAsia="Times New Roman" w:cs="Times New Roman"/>
                      <w:kern w:val="0"/>
                      <w:lang w:eastAsia="pl-PL" w:bidi="ar-SA"/>
                    </w:rPr>
                    <w:t>Cena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33747" w:rsidRPr="00733747" w:rsidRDefault="00733747" w:rsidP="00733747">
                  <w:pPr>
                    <w:widowControl/>
                    <w:suppressAutoHyphens w:val="0"/>
                    <w:rPr>
                      <w:rFonts w:eastAsia="Times New Roman" w:cs="Times New Roman"/>
                      <w:kern w:val="0"/>
                      <w:lang w:eastAsia="pl-PL" w:bidi="ar-SA"/>
                    </w:rPr>
                  </w:pPr>
                  <w:r w:rsidRPr="00733747">
                    <w:rPr>
                      <w:rFonts w:eastAsia="Times New Roman" w:cs="Times New Roman"/>
                      <w:kern w:val="0"/>
                      <w:lang w:eastAsia="pl-PL" w:bidi="ar-SA"/>
                    </w:rPr>
                    <w:t>60</w:t>
                  </w:r>
                </w:p>
              </w:tc>
            </w:tr>
            <w:tr w:rsidR="00733747" w:rsidRPr="00733747" w:rsidTr="0073374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33747" w:rsidRPr="00733747" w:rsidRDefault="00733747" w:rsidP="00733747">
                  <w:pPr>
                    <w:widowControl/>
                    <w:suppressAutoHyphens w:val="0"/>
                    <w:rPr>
                      <w:rFonts w:eastAsia="Times New Roman" w:cs="Times New Roman"/>
                      <w:kern w:val="0"/>
                      <w:lang w:eastAsia="pl-PL" w:bidi="ar-SA"/>
                    </w:rPr>
                  </w:pPr>
                  <w:r w:rsidRPr="00733747">
                    <w:rPr>
                      <w:rFonts w:eastAsia="Times New Roman" w:cs="Times New Roman"/>
                      <w:kern w:val="0"/>
                      <w:lang w:eastAsia="pl-PL" w:bidi="ar-SA"/>
                    </w:rPr>
                    <w:t>Gwarancja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33747" w:rsidRPr="00733747" w:rsidRDefault="00733747" w:rsidP="00733747">
                  <w:pPr>
                    <w:widowControl/>
                    <w:suppressAutoHyphens w:val="0"/>
                    <w:rPr>
                      <w:rFonts w:eastAsia="Times New Roman" w:cs="Times New Roman"/>
                      <w:kern w:val="0"/>
                      <w:lang w:eastAsia="pl-PL" w:bidi="ar-SA"/>
                    </w:rPr>
                  </w:pPr>
                  <w:r w:rsidRPr="00733747">
                    <w:rPr>
                      <w:rFonts w:eastAsia="Times New Roman" w:cs="Times New Roman"/>
                      <w:kern w:val="0"/>
                      <w:lang w:eastAsia="pl-PL" w:bidi="ar-SA"/>
                    </w:rPr>
                    <w:t>40</w:t>
                  </w:r>
                </w:p>
              </w:tc>
            </w:tr>
          </w:tbl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IV.2.3) Zastosowanie procedury, o której mowa w art. 24aa ust. 1 ustawy </w:t>
            </w:r>
            <w:proofErr w:type="spellStart"/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Pzp</w:t>
            </w:r>
            <w:proofErr w:type="spellEnd"/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(przetarg nieograniczony)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tak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IV.3) Negocjacje z ogłoszeniem, dialog konkurencyjny, partnerstwo innowacyjne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IV.3.1) Informacje na temat negocjacji z ogłoszeniem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Minimalne wymagania, które muszą spełniać wszystkie oferty: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Przewidziane jest zastrzeżenie prawa do udzielenia zamówienia na podstawie ofert wstępnych bez przeprowadzenia negocjacji 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Przewidziany jest podział negocjacji na etapy w celu ograniczenia liczby ofert: 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Należy podać informacje na temat etapów negocjacji (w tym liczbę etapów):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lastRenderedPageBreak/>
              <w:t xml:space="preserve">Informacje dodatkowe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IV.3.2) Informacje na temat dialogu konkurencyjnego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Opis potrzeb i wymagań zamawiającego lub informacja o sposobie uzyskania tego opisu: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Informacja o wysokości nagród dla wykonawców, którzy podczas dialogu konkurencyjnego przedstawili rozwiązania stanowiące podstawę do składania ofert, jeżeli zamawiający przewiduje nagrody: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Wstępny harmonogram postępowania: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Podział dialogu na etapy w celu ograniczenia liczby rozwiązań: 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Należy podać informacje na temat etapów dialogu: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Informacje dodatkowe: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IV.3.3) Informacje na temat partnerstwa innowacyjnego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Elementy opisu przedmiotu zamówienia definiujące minimalne wymagania, którym muszą odpowiadać wszystkie oferty: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Podział negocjacji na etapy w celu ograniczeniu liczby ofert podlegających negocjacjom poprzez zastosowanie kryteriów oceny ofert wskazanych w specyfikacji istotnych warunków zamówienia: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Informacje dodatkowe: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IV.4) Licytacja elektroniczna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Adres strony internetowej, na której będzie prowadzona licytacja elektroniczna: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Adres strony internetowej, na której jest dostępny opis przedmiotu zamówienia w licytacji elektronicznej: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Wymagania dotyczące rejestracji i identyfikacji wykonawców w licytacji elektronicznej, w tym wymagania techniczne urządzeń informatycznych: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Sposób postępowania w toku licytacji elektronicznej, w tym określenie minimalnych wysokości postąpień: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Informacje o liczbie etapów licytacji elektronicznej i czasie ich trwania: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Licytacja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35"/>
              <w:gridCol w:w="1848"/>
            </w:tblGrid>
            <w:tr w:rsidR="00733747" w:rsidRPr="00733747" w:rsidTr="0073374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33747" w:rsidRPr="00733747" w:rsidRDefault="00733747" w:rsidP="00733747">
                  <w:pPr>
                    <w:widowControl/>
                    <w:suppressAutoHyphens w:val="0"/>
                    <w:rPr>
                      <w:rFonts w:eastAsia="Times New Roman" w:cs="Times New Roman"/>
                      <w:kern w:val="0"/>
                      <w:lang w:eastAsia="pl-PL" w:bidi="ar-SA"/>
                    </w:rPr>
                  </w:pPr>
                  <w:r w:rsidRPr="00733747">
                    <w:rPr>
                      <w:rFonts w:eastAsia="Times New Roman" w:cs="Times New Roman"/>
                      <w:kern w:val="0"/>
                      <w:lang w:eastAsia="pl-PL" w:bidi="ar-SA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733747" w:rsidRPr="00733747" w:rsidRDefault="00733747" w:rsidP="00733747">
                  <w:pPr>
                    <w:widowControl/>
                    <w:suppressAutoHyphens w:val="0"/>
                    <w:rPr>
                      <w:rFonts w:eastAsia="Times New Roman" w:cs="Times New Roman"/>
                      <w:kern w:val="0"/>
                      <w:lang w:eastAsia="pl-PL" w:bidi="ar-SA"/>
                    </w:rPr>
                  </w:pPr>
                  <w:r w:rsidRPr="00733747">
                    <w:rPr>
                      <w:rFonts w:eastAsia="Times New Roman" w:cs="Times New Roman"/>
                      <w:kern w:val="0"/>
                      <w:lang w:eastAsia="pl-PL" w:bidi="ar-SA"/>
                    </w:rPr>
                    <w:t>czas trwania etapu</w:t>
                  </w:r>
                </w:p>
              </w:tc>
            </w:tr>
            <w:tr w:rsidR="00733747" w:rsidRPr="00733747" w:rsidTr="0073374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733747" w:rsidRPr="00733747" w:rsidRDefault="00733747" w:rsidP="00733747">
                  <w:pPr>
                    <w:widowControl/>
                    <w:suppressAutoHyphens w:val="0"/>
                    <w:rPr>
                      <w:rFonts w:eastAsia="Times New Roman" w:cs="Times New Roman"/>
                      <w:kern w:val="0"/>
                      <w:lang w:eastAsia="pl-PL" w:bidi="ar-SA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733747" w:rsidRPr="00733747" w:rsidRDefault="00733747" w:rsidP="00733747">
                  <w:pPr>
                    <w:widowControl/>
                    <w:suppressAutoHyphens w:val="0"/>
                    <w:rPr>
                      <w:rFonts w:eastAsia="Times New Roman" w:cs="Times New Roman"/>
                      <w:kern w:val="0"/>
                      <w:sz w:val="20"/>
                      <w:szCs w:val="20"/>
                      <w:lang w:eastAsia="pl-PL" w:bidi="ar-SA"/>
                    </w:rPr>
                  </w:pPr>
                </w:p>
              </w:tc>
            </w:tr>
          </w:tbl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Wykonawcy, którzy nie złożyli nowych postąpień, zostaną zakwalifikowani do następnego etapu: nie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Termin otwarcia licytacji elektronicznej: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Termin i warunki zamknięcia licytacji elektronicznej: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Istotne dla stron postanowienia, które zostaną wprowadzone do treści zawieranej umowy w sprawie zamówienia publicznego, albo ogólne warunki umowy, albo wzór umowy: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Wymagania dotyczące zabezpieczenia należytego wykonania umowy: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Informacje dodatkowe: </w:t>
            </w:r>
          </w:p>
          <w:p w:rsidR="00733747" w:rsidRPr="00733747" w:rsidRDefault="00733747" w:rsidP="00733747">
            <w:pPr>
              <w:widowControl/>
              <w:suppressAutoHyphens w:val="0"/>
              <w:rPr>
                <w:rFonts w:eastAsia="Times New Roman" w:cs="Times New Roman"/>
                <w:kern w:val="0"/>
                <w:lang w:eastAsia="pl-PL" w:bidi="ar-SA"/>
              </w:rPr>
            </w:pP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lastRenderedPageBreak/>
              <w:t>IV.5) ZMIANA UMOWY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Przewiduje się istotne zmiany postanowień zawartej umowy w stosunku do treści oferty, na podstawie której dokonano wyboru wykonawcy: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 tak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Należy wskazać zakres, charakter zmian oraz warunki wprowadzenia zmian: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1. Niedopuszczalna jest zmiana postanowień zawartej Umowy w stosunku do treści oferty, na podstawie której dokonano wyboru Wykonawcy, za wyjątkiem poniższych przypadków: 1) zmiany przedstawiciela ze strony Zamawiającego, 2) zmiany numeru konta lub innych danych podmiotowych stron Umowy, 3) zamiany stawki podatku VAT. 2. Zamiany terminu wykonania umowy w przypadku: 1) działania siły wyższej lub wystąpienia niekorzystnych warunków atmosferycznych, 2) wystąpienia kolizji z niezinwentaryzowanymi sieciami, 3) konieczności przeprowadzenia innych prac wcześniej niezidentyfikowanych, 4) wstrzymania robót przez uprawnione podmioty, 5) konieczności wykonania prac wynikających z zaleceń organów uprawnionych, np. nadzoru budowlanego, PIP, itp. 6) przestojów i opóźnień zawinionych przez Zamawiającego, 7) czasowego wstrzymania prac przez Zamawiającego, 8) w przypadku nieprzewidzianych przeszkód uniemożliwiających realizację przedmiotu zamówienia w określonym umową terminie. 3. Wszelkie zmiany i uzupełnienia treści niniejszej umowy wymagają aneksu sporządzonego z zachowaniem formy pisemnej pod rygorem nieważności. 4.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5. W trakcie trwania niniejszej umowy Wykonawca zobowiązuje się do pisemnego powiadamiania Zamawiającego o: 1) ogłoszeniu upadłości, 2) ogłoszeniu likwidacji, 3) zmianie siedziby lub nazwy firmy, 4) zmianie osób reprezentujących, 5) zawieszenia działalności, 6) wszczęciu postępowania układowego, w którym uczestniczy Wykonawca.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IV.6) INFORMACJE ADMINISTRACYJNE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IV.6.1) Sposób udostępniania informacji o charakterze poufnym </w:t>
            </w:r>
            <w:r w:rsidRPr="00733747">
              <w:rPr>
                <w:rFonts w:eastAsia="Times New Roman" w:cs="Times New Roman"/>
                <w:i/>
                <w:iCs/>
                <w:kern w:val="0"/>
                <w:lang w:eastAsia="pl-PL" w:bidi="ar-SA"/>
              </w:rPr>
              <w:t xml:space="preserve">(jeżeli dotyczy):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Środki służące ochronie informacji o charakterze poufnym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IV.6.2) Termin składania ofert lub wniosków o dopuszczenie do udziału w postępowaniu: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Data: 03/11/2016, godzina: 12:00,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Skrócenie terminu składania wniosków, ze względu na pilną potrzebę udzielenia zamówienia (przetarg nieograniczony, przetarg ograniczony, negocjacje z ogłoszeniem):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Wskazać powody: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Język lub języki, w jakich mogą być sporządzane oferty lub wnioski o dopuszczenie do udziału w postępowaniu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  <w:t xml:space="preserve">&gt;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IV.6.3) Termin związania ofertą: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okres w dniach: 30 (od ostatecznego terminu składania ofert)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 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 xml:space="preserve">IV.6.5) Przewiduje się unieważnienie postępowania o udzielenie zamówienia, jeżeli środki służące sfinansowaniu zamówień na badania naukowe lub prace rozwojowe, </w:t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lastRenderedPageBreak/>
              <w:t>które zamawiający zamierzał przeznaczyć na sfinansowanie całości lub części zamówienia, nie zostały mu przyznane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t xml:space="preserve"> nie </w:t>
            </w:r>
            <w:r w:rsidRPr="00733747">
              <w:rPr>
                <w:rFonts w:eastAsia="Times New Roman" w:cs="Times New Roman"/>
                <w:kern w:val="0"/>
                <w:lang w:eastAsia="pl-PL" w:bidi="ar-SA"/>
              </w:rPr>
              <w:br/>
            </w:r>
            <w:r w:rsidRPr="00733747">
              <w:rPr>
                <w:rFonts w:eastAsia="Times New Roman" w:cs="Times New Roman"/>
                <w:b/>
                <w:bCs/>
                <w:kern w:val="0"/>
                <w:lang w:eastAsia="pl-PL" w:bidi="ar-SA"/>
              </w:rPr>
              <w:t>IV.6.6) Informacje dodatkowe:</w:t>
            </w:r>
          </w:p>
          <w:p w:rsidR="00733747" w:rsidRPr="00733747" w:rsidRDefault="00733747" w:rsidP="00733747">
            <w:pPr>
              <w:widowControl/>
              <w:suppressAutoHyphens w:val="0"/>
              <w:spacing w:after="240"/>
              <w:rPr>
                <w:rFonts w:eastAsia="Times New Roman" w:cs="Times New Roman"/>
                <w:kern w:val="0"/>
                <w:lang w:eastAsia="pl-PL" w:bidi="ar-SA"/>
              </w:rPr>
            </w:pPr>
          </w:p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733747" w:rsidRPr="00733747" w:rsidRDefault="00733747" w:rsidP="00733747">
            <w:pPr>
              <w:widowControl/>
              <w:suppressAutoHyphens w:val="0"/>
              <w:jc w:val="right"/>
              <w:rPr>
                <w:rFonts w:eastAsia="Times New Roman" w:cs="Times New Roman"/>
                <w:kern w:val="0"/>
                <w:lang w:eastAsia="pl-PL" w:bidi="ar-SA"/>
              </w:rPr>
            </w:pPr>
            <w:bookmarkStart w:id="0" w:name="_GoBack"/>
            <w:bookmarkEnd w:id="0"/>
          </w:p>
        </w:tc>
      </w:tr>
    </w:tbl>
    <w:p w:rsidR="00943643" w:rsidRPr="00733747" w:rsidRDefault="00943643" w:rsidP="00733747"/>
    <w:sectPr w:rsidR="00943643" w:rsidRPr="00733747" w:rsidSect="004149AD">
      <w:footerReference w:type="default" r:id="rId8"/>
      <w:pgSz w:w="11906" w:h="16838"/>
      <w:pgMar w:top="1134" w:right="1134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C78" w:rsidRDefault="00A43C78" w:rsidP="00733747">
      <w:r>
        <w:separator/>
      </w:r>
    </w:p>
  </w:endnote>
  <w:endnote w:type="continuationSeparator" w:id="0">
    <w:p w:rsidR="00A43C78" w:rsidRDefault="00A43C78" w:rsidP="00733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7866973"/>
      <w:docPartObj>
        <w:docPartGallery w:val="Page Numbers (Bottom of Page)"/>
        <w:docPartUnique/>
      </w:docPartObj>
    </w:sdtPr>
    <w:sdtContent>
      <w:p w:rsidR="00733747" w:rsidRDefault="0073374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5445">
          <w:rPr>
            <w:noProof/>
          </w:rPr>
          <w:t>10</w:t>
        </w:r>
        <w:r>
          <w:fldChar w:fldCharType="end"/>
        </w:r>
      </w:p>
    </w:sdtContent>
  </w:sdt>
  <w:p w:rsidR="00733747" w:rsidRDefault="007337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C78" w:rsidRDefault="00A43C78" w:rsidP="00733747">
      <w:r>
        <w:separator/>
      </w:r>
    </w:p>
  </w:footnote>
  <w:footnote w:type="continuationSeparator" w:id="0">
    <w:p w:rsidR="00A43C78" w:rsidRDefault="00A43C78" w:rsidP="007337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eastAsia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4531AE6"/>
    <w:multiLevelType w:val="hybridMultilevel"/>
    <w:tmpl w:val="D376F282"/>
    <w:lvl w:ilvl="0" w:tplc="DC7C3A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7E3767"/>
    <w:multiLevelType w:val="hybridMultilevel"/>
    <w:tmpl w:val="57B4F5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806DBF"/>
    <w:multiLevelType w:val="hybridMultilevel"/>
    <w:tmpl w:val="FEBE6256"/>
    <w:lvl w:ilvl="0" w:tplc="DC7C3A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B058EA"/>
    <w:multiLevelType w:val="hybridMultilevel"/>
    <w:tmpl w:val="927400BE"/>
    <w:lvl w:ilvl="0" w:tplc="DC7C3A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BC7F59"/>
    <w:multiLevelType w:val="hybridMultilevel"/>
    <w:tmpl w:val="B344D4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73621BB"/>
    <w:multiLevelType w:val="hybridMultilevel"/>
    <w:tmpl w:val="787ED940"/>
    <w:lvl w:ilvl="0" w:tplc="1EB8C0C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1A295245"/>
    <w:multiLevelType w:val="hybridMultilevel"/>
    <w:tmpl w:val="E0605B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D464880"/>
    <w:multiLevelType w:val="hybridMultilevel"/>
    <w:tmpl w:val="22B616A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50445E6"/>
    <w:multiLevelType w:val="hybridMultilevel"/>
    <w:tmpl w:val="8ADED918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3" w15:restartNumberingAfterBreak="0">
    <w:nsid w:val="28FB5964"/>
    <w:multiLevelType w:val="hybridMultilevel"/>
    <w:tmpl w:val="2D0C696A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 w15:restartNumberingAfterBreak="0">
    <w:nsid w:val="2FEE6ACC"/>
    <w:multiLevelType w:val="hybridMultilevel"/>
    <w:tmpl w:val="E4961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0D462B"/>
    <w:multiLevelType w:val="hybridMultilevel"/>
    <w:tmpl w:val="3D403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8A131B6"/>
    <w:multiLevelType w:val="hybridMultilevel"/>
    <w:tmpl w:val="C3C631B6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3A981B54"/>
    <w:multiLevelType w:val="hybridMultilevel"/>
    <w:tmpl w:val="4268EF7A"/>
    <w:lvl w:ilvl="0" w:tplc="DC7C3A1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0B5F8E"/>
    <w:multiLevelType w:val="hybridMultilevel"/>
    <w:tmpl w:val="0A9449A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4D52DA"/>
    <w:multiLevelType w:val="hybridMultilevel"/>
    <w:tmpl w:val="513E0A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73E3C12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B455CD9"/>
    <w:multiLevelType w:val="hybridMultilevel"/>
    <w:tmpl w:val="FB3A7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C0A6C1C"/>
    <w:multiLevelType w:val="hybridMultilevel"/>
    <w:tmpl w:val="9FC028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EC94A4E"/>
    <w:multiLevelType w:val="hybridMultilevel"/>
    <w:tmpl w:val="A57E75B8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3" w15:restartNumberingAfterBreak="0">
    <w:nsid w:val="536D3E06"/>
    <w:multiLevelType w:val="hybridMultilevel"/>
    <w:tmpl w:val="5BEE1B1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59C1C79"/>
    <w:multiLevelType w:val="hybridMultilevel"/>
    <w:tmpl w:val="1AA820B6"/>
    <w:lvl w:ilvl="0" w:tplc="DC7C3A12">
      <w:start w:val="1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5" w15:restartNumberingAfterBreak="0">
    <w:nsid w:val="5C3A6C73"/>
    <w:multiLevelType w:val="hybridMultilevel"/>
    <w:tmpl w:val="8FBE0554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6" w15:restartNumberingAfterBreak="0">
    <w:nsid w:val="5CA732B4"/>
    <w:multiLevelType w:val="hybridMultilevel"/>
    <w:tmpl w:val="ADE852D4"/>
    <w:lvl w:ilvl="0" w:tplc="1EB8C0C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E287C1C"/>
    <w:multiLevelType w:val="hybridMultilevel"/>
    <w:tmpl w:val="2C52B17E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8" w15:restartNumberingAfterBreak="0">
    <w:nsid w:val="5F727579"/>
    <w:multiLevelType w:val="hybridMultilevel"/>
    <w:tmpl w:val="C3EA748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 w15:restartNumberingAfterBreak="0">
    <w:nsid w:val="637D074C"/>
    <w:multiLevelType w:val="hybridMultilevel"/>
    <w:tmpl w:val="35E614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6F17802"/>
    <w:multiLevelType w:val="hybridMultilevel"/>
    <w:tmpl w:val="8E3ACB00"/>
    <w:lvl w:ilvl="0" w:tplc="1EB8C0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A9358D4"/>
    <w:multiLevelType w:val="hybridMultilevel"/>
    <w:tmpl w:val="086EB4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94749740">
      <w:start w:val="1"/>
      <w:numFmt w:val="lowerLetter"/>
      <w:lvlText w:val="%2)"/>
      <w:lvlJc w:val="left"/>
      <w:pPr>
        <w:ind w:left="1500" w:hanging="42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B476250"/>
    <w:multiLevelType w:val="hybridMultilevel"/>
    <w:tmpl w:val="E04ED2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B9615BA"/>
    <w:multiLevelType w:val="hybridMultilevel"/>
    <w:tmpl w:val="4EE646DC"/>
    <w:lvl w:ilvl="0" w:tplc="1EB8C0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6E4241"/>
    <w:multiLevelType w:val="hybridMultilevel"/>
    <w:tmpl w:val="ED5C7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F8B5391"/>
    <w:multiLevelType w:val="hybridMultilevel"/>
    <w:tmpl w:val="51B4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6"/>
  </w:num>
  <w:num w:numId="5">
    <w:abstractNumId w:val="27"/>
  </w:num>
  <w:num w:numId="6">
    <w:abstractNumId w:val="22"/>
  </w:num>
  <w:num w:numId="7">
    <w:abstractNumId w:val="21"/>
  </w:num>
  <w:num w:numId="8">
    <w:abstractNumId w:val="11"/>
  </w:num>
  <w:num w:numId="9">
    <w:abstractNumId w:val="20"/>
  </w:num>
  <w:num w:numId="10">
    <w:abstractNumId w:val="30"/>
  </w:num>
  <w:num w:numId="11">
    <w:abstractNumId w:val="16"/>
  </w:num>
  <w:num w:numId="12">
    <w:abstractNumId w:val="9"/>
  </w:num>
  <w:num w:numId="13">
    <w:abstractNumId w:val="23"/>
  </w:num>
  <w:num w:numId="14">
    <w:abstractNumId w:val="31"/>
  </w:num>
  <w:num w:numId="15">
    <w:abstractNumId w:val="29"/>
  </w:num>
  <w:num w:numId="16">
    <w:abstractNumId w:val="18"/>
  </w:num>
  <w:num w:numId="17">
    <w:abstractNumId w:val="32"/>
  </w:num>
  <w:num w:numId="18">
    <w:abstractNumId w:val="35"/>
  </w:num>
  <w:num w:numId="19">
    <w:abstractNumId w:val="34"/>
  </w:num>
  <w:num w:numId="20">
    <w:abstractNumId w:val="14"/>
  </w:num>
  <w:num w:numId="21">
    <w:abstractNumId w:val="13"/>
  </w:num>
  <w:num w:numId="22">
    <w:abstractNumId w:val="25"/>
  </w:num>
  <w:num w:numId="23">
    <w:abstractNumId w:val="8"/>
  </w:num>
  <w:num w:numId="24">
    <w:abstractNumId w:val="5"/>
  </w:num>
  <w:num w:numId="25">
    <w:abstractNumId w:val="10"/>
  </w:num>
  <w:num w:numId="26">
    <w:abstractNumId w:val="19"/>
  </w:num>
  <w:num w:numId="27">
    <w:abstractNumId w:val="12"/>
  </w:num>
  <w:num w:numId="28">
    <w:abstractNumId w:val="28"/>
  </w:num>
  <w:num w:numId="29">
    <w:abstractNumId w:val="15"/>
  </w:num>
  <w:num w:numId="30">
    <w:abstractNumId w:val="33"/>
  </w:num>
  <w:num w:numId="31">
    <w:abstractNumId w:val="0"/>
    <w:lvlOverride w:ilvl="0">
      <w:startOverride w:val="1"/>
    </w:lvlOverride>
  </w:num>
  <w:num w:numId="32">
    <w:abstractNumId w:val="24"/>
  </w:num>
  <w:num w:numId="33">
    <w:abstractNumId w:val="6"/>
  </w:num>
  <w:num w:numId="34">
    <w:abstractNumId w:val="7"/>
  </w:num>
  <w:num w:numId="35">
    <w:abstractNumId w:val="4"/>
  </w:num>
  <w:num w:numId="36">
    <w:abstractNumId w:val="17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592"/>
    <w:rsid w:val="00001CF8"/>
    <w:rsid w:val="00011380"/>
    <w:rsid w:val="00045D09"/>
    <w:rsid w:val="00056F3D"/>
    <w:rsid w:val="00065855"/>
    <w:rsid w:val="00082C3F"/>
    <w:rsid w:val="00085F6A"/>
    <w:rsid w:val="00090990"/>
    <w:rsid w:val="00091C1C"/>
    <w:rsid w:val="000A0290"/>
    <w:rsid w:val="000A109F"/>
    <w:rsid w:val="000A14AF"/>
    <w:rsid w:val="000A1D8F"/>
    <w:rsid w:val="000A4B87"/>
    <w:rsid w:val="000A6561"/>
    <w:rsid w:val="000B060C"/>
    <w:rsid w:val="000D3615"/>
    <w:rsid w:val="000D5652"/>
    <w:rsid w:val="000F0493"/>
    <w:rsid w:val="00105BA1"/>
    <w:rsid w:val="00110D32"/>
    <w:rsid w:val="0011619D"/>
    <w:rsid w:val="00116BA2"/>
    <w:rsid w:val="00121A5A"/>
    <w:rsid w:val="001378CF"/>
    <w:rsid w:val="00137ECE"/>
    <w:rsid w:val="001642ED"/>
    <w:rsid w:val="001925B9"/>
    <w:rsid w:val="00193A1B"/>
    <w:rsid w:val="001948CB"/>
    <w:rsid w:val="00194E9E"/>
    <w:rsid w:val="0019565D"/>
    <w:rsid w:val="001B4510"/>
    <w:rsid w:val="001B4719"/>
    <w:rsid w:val="001C564A"/>
    <w:rsid w:val="001D7699"/>
    <w:rsid w:val="001F79D6"/>
    <w:rsid w:val="00214441"/>
    <w:rsid w:val="00236777"/>
    <w:rsid w:val="0025394C"/>
    <w:rsid w:val="0027455E"/>
    <w:rsid w:val="00281B6D"/>
    <w:rsid w:val="002A126D"/>
    <w:rsid w:val="002B6B03"/>
    <w:rsid w:val="002E12F1"/>
    <w:rsid w:val="002F0B97"/>
    <w:rsid w:val="003178B7"/>
    <w:rsid w:val="00373D22"/>
    <w:rsid w:val="0038089B"/>
    <w:rsid w:val="003A385C"/>
    <w:rsid w:val="003A5788"/>
    <w:rsid w:val="003C7A26"/>
    <w:rsid w:val="003D5F72"/>
    <w:rsid w:val="003D6934"/>
    <w:rsid w:val="003E071D"/>
    <w:rsid w:val="004149AD"/>
    <w:rsid w:val="00416CC1"/>
    <w:rsid w:val="00432744"/>
    <w:rsid w:val="00434696"/>
    <w:rsid w:val="00442911"/>
    <w:rsid w:val="004504CF"/>
    <w:rsid w:val="00461C86"/>
    <w:rsid w:val="004A4D7F"/>
    <w:rsid w:val="004B52D7"/>
    <w:rsid w:val="004C1978"/>
    <w:rsid w:val="004E7F6B"/>
    <w:rsid w:val="00511800"/>
    <w:rsid w:val="00513C09"/>
    <w:rsid w:val="00531B6A"/>
    <w:rsid w:val="00560D71"/>
    <w:rsid w:val="00563ECA"/>
    <w:rsid w:val="005829D3"/>
    <w:rsid w:val="00583E5F"/>
    <w:rsid w:val="00594BB6"/>
    <w:rsid w:val="0059789D"/>
    <w:rsid w:val="005B36F1"/>
    <w:rsid w:val="005B5CCC"/>
    <w:rsid w:val="005D27AE"/>
    <w:rsid w:val="005D4859"/>
    <w:rsid w:val="00612EA1"/>
    <w:rsid w:val="00622848"/>
    <w:rsid w:val="00622B11"/>
    <w:rsid w:val="00635916"/>
    <w:rsid w:val="006624C3"/>
    <w:rsid w:val="006677B8"/>
    <w:rsid w:val="006757DD"/>
    <w:rsid w:val="0068268E"/>
    <w:rsid w:val="006865AB"/>
    <w:rsid w:val="006936C3"/>
    <w:rsid w:val="006C402A"/>
    <w:rsid w:val="006C43CA"/>
    <w:rsid w:val="006E1913"/>
    <w:rsid w:val="006E70D3"/>
    <w:rsid w:val="00701FE3"/>
    <w:rsid w:val="00731CD0"/>
    <w:rsid w:val="00733747"/>
    <w:rsid w:val="00747C6E"/>
    <w:rsid w:val="00750053"/>
    <w:rsid w:val="007519E8"/>
    <w:rsid w:val="00751F8F"/>
    <w:rsid w:val="00773E10"/>
    <w:rsid w:val="00794819"/>
    <w:rsid w:val="007A0ED7"/>
    <w:rsid w:val="007B1140"/>
    <w:rsid w:val="007B4610"/>
    <w:rsid w:val="007C085A"/>
    <w:rsid w:val="007D4592"/>
    <w:rsid w:val="007D7B71"/>
    <w:rsid w:val="007F2C39"/>
    <w:rsid w:val="0082269B"/>
    <w:rsid w:val="00825445"/>
    <w:rsid w:val="008509E9"/>
    <w:rsid w:val="008737D8"/>
    <w:rsid w:val="00873BF1"/>
    <w:rsid w:val="00882FDD"/>
    <w:rsid w:val="008A425B"/>
    <w:rsid w:val="008A4CA1"/>
    <w:rsid w:val="008A6943"/>
    <w:rsid w:val="008B09E9"/>
    <w:rsid w:val="008B1AEC"/>
    <w:rsid w:val="008B6A87"/>
    <w:rsid w:val="008C0447"/>
    <w:rsid w:val="008C12D9"/>
    <w:rsid w:val="008C68A0"/>
    <w:rsid w:val="008D2D73"/>
    <w:rsid w:val="008D4EA6"/>
    <w:rsid w:val="008F1976"/>
    <w:rsid w:val="008F28B2"/>
    <w:rsid w:val="008F46AD"/>
    <w:rsid w:val="00912F86"/>
    <w:rsid w:val="00920DA4"/>
    <w:rsid w:val="00922769"/>
    <w:rsid w:val="00943643"/>
    <w:rsid w:val="00966E84"/>
    <w:rsid w:val="0098609B"/>
    <w:rsid w:val="009954EB"/>
    <w:rsid w:val="009B3729"/>
    <w:rsid w:val="009C2B63"/>
    <w:rsid w:val="009C43B4"/>
    <w:rsid w:val="009D6A82"/>
    <w:rsid w:val="009E59C0"/>
    <w:rsid w:val="009F1F74"/>
    <w:rsid w:val="009F78FF"/>
    <w:rsid w:val="00A2196B"/>
    <w:rsid w:val="00A34E7B"/>
    <w:rsid w:val="00A43C78"/>
    <w:rsid w:val="00A52C4E"/>
    <w:rsid w:val="00A62AA2"/>
    <w:rsid w:val="00A94AFB"/>
    <w:rsid w:val="00AB33AC"/>
    <w:rsid w:val="00AD0617"/>
    <w:rsid w:val="00AD35A9"/>
    <w:rsid w:val="00AD7443"/>
    <w:rsid w:val="00B310AC"/>
    <w:rsid w:val="00B638D1"/>
    <w:rsid w:val="00B70312"/>
    <w:rsid w:val="00B91268"/>
    <w:rsid w:val="00BF0596"/>
    <w:rsid w:val="00C1066F"/>
    <w:rsid w:val="00C1660C"/>
    <w:rsid w:val="00C3192D"/>
    <w:rsid w:val="00C360BE"/>
    <w:rsid w:val="00C6347B"/>
    <w:rsid w:val="00C762A9"/>
    <w:rsid w:val="00C9114B"/>
    <w:rsid w:val="00CA186E"/>
    <w:rsid w:val="00CA4E76"/>
    <w:rsid w:val="00CB03E6"/>
    <w:rsid w:val="00CE4CF5"/>
    <w:rsid w:val="00D1688B"/>
    <w:rsid w:val="00D26DC3"/>
    <w:rsid w:val="00D27FE9"/>
    <w:rsid w:val="00D32742"/>
    <w:rsid w:val="00D3588E"/>
    <w:rsid w:val="00D35D88"/>
    <w:rsid w:val="00D363F2"/>
    <w:rsid w:val="00D468F8"/>
    <w:rsid w:val="00D7775B"/>
    <w:rsid w:val="00D85E64"/>
    <w:rsid w:val="00D8739B"/>
    <w:rsid w:val="00DA3ECC"/>
    <w:rsid w:val="00DA799F"/>
    <w:rsid w:val="00DB069B"/>
    <w:rsid w:val="00DD7343"/>
    <w:rsid w:val="00E329AF"/>
    <w:rsid w:val="00E431EB"/>
    <w:rsid w:val="00E47CF6"/>
    <w:rsid w:val="00E554AB"/>
    <w:rsid w:val="00E62CEC"/>
    <w:rsid w:val="00E6391C"/>
    <w:rsid w:val="00E90A45"/>
    <w:rsid w:val="00EA1D45"/>
    <w:rsid w:val="00EB3940"/>
    <w:rsid w:val="00EB698D"/>
    <w:rsid w:val="00EC28D0"/>
    <w:rsid w:val="00EC47C5"/>
    <w:rsid w:val="00EF2F5D"/>
    <w:rsid w:val="00F44B4E"/>
    <w:rsid w:val="00F45BF8"/>
    <w:rsid w:val="00F503B0"/>
    <w:rsid w:val="00F5340A"/>
    <w:rsid w:val="00F62356"/>
    <w:rsid w:val="00F77CCB"/>
    <w:rsid w:val="00F84715"/>
    <w:rsid w:val="00F93BC6"/>
    <w:rsid w:val="00FB0C35"/>
    <w:rsid w:val="00FC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BA61160-8C3D-42E3-9AAE-5581CD79A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789D"/>
    <w:pPr>
      <w:widowControl w:val="0"/>
      <w:suppressAutoHyphens/>
    </w:pPr>
    <w:rPr>
      <w:rFonts w:eastAsia="Arial Unicode MS" w:cs="Tahoma"/>
      <w:kern w:val="1"/>
      <w:sz w:val="24"/>
      <w:szCs w:val="24"/>
      <w:lang w:eastAsia="hi-IN" w:bidi="hi-IN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9789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9789D"/>
    <w:pPr>
      <w:numPr>
        <w:ilvl w:val="8"/>
        <w:numId w:val="1"/>
      </w:numPr>
      <w:spacing w:before="240" w:after="60"/>
      <w:outlineLvl w:val="8"/>
    </w:pPr>
    <w:rPr>
      <w:rFonts w:ascii="Cambria" w:eastAsia="Times New Roman" w:hAnsi="Cambria" w:cs="Helvetic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locked/>
    <w:rsid w:val="00747C6E"/>
    <w:rPr>
      <w:rFonts w:eastAsia="Arial Unicode MS" w:cs="Tahoma"/>
      <w:b/>
      <w:bCs/>
      <w:kern w:val="1"/>
      <w:sz w:val="28"/>
      <w:szCs w:val="28"/>
      <w:lang w:eastAsia="hi-IN" w:bidi="hi-IN"/>
    </w:rPr>
  </w:style>
  <w:style w:type="character" w:customStyle="1" w:styleId="Nagwek9Znak">
    <w:name w:val="Nagłówek 9 Znak"/>
    <w:basedOn w:val="Domylnaczcionkaakapitu"/>
    <w:link w:val="Nagwek9"/>
    <w:uiPriority w:val="9"/>
    <w:locked/>
    <w:rsid w:val="00747C6E"/>
    <w:rPr>
      <w:rFonts w:ascii="Cambria" w:hAnsi="Cambria" w:cs="Helvetica"/>
      <w:kern w:val="1"/>
      <w:sz w:val="22"/>
      <w:szCs w:val="22"/>
      <w:lang w:eastAsia="hi-IN" w:bidi="hi-IN"/>
    </w:rPr>
  </w:style>
  <w:style w:type="character" w:customStyle="1" w:styleId="WW8Num2z0">
    <w:name w:val="WW8Num2z0"/>
    <w:rsid w:val="0059789D"/>
    <w:rPr>
      <w:rFonts w:ascii="Symbol" w:hAnsi="Symbol"/>
    </w:rPr>
  </w:style>
  <w:style w:type="character" w:customStyle="1" w:styleId="WW8Num3z0">
    <w:name w:val="WW8Num3z0"/>
    <w:rsid w:val="0059789D"/>
    <w:rPr>
      <w:rFonts w:ascii="OpenSymbol" w:eastAsia="OpenSymbol"/>
    </w:rPr>
  </w:style>
  <w:style w:type="character" w:customStyle="1" w:styleId="Absatz-Standardschriftart">
    <w:name w:val="Absatz-Standardschriftart"/>
    <w:rsid w:val="0059789D"/>
  </w:style>
  <w:style w:type="character" w:customStyle="1" w:styleId="WW-Absatz-Standardschriftart">
    <w:name w:val="WW-Absatz-Standardschriftart"/>
    <w:rsid w:val="0059789D"/>
  </w:style>
  <w:style w:type="character" w:customStyle="1" w:styleId="WW-Absatz-Standardschriftart1">
    <w:name w:val="WW-Absatz-Standardschriftart1"/>
    <w:rsid w:val="0059789D"/>
  </w:style>
  <w:style w:type="character" w:customStyle="1" w:styleId="WW-Absatz-Standardschriftart11">
    <w:name w:val="WW-Absatz-Standardschriftart11"/>
    <w:rsid w:val="0059789D"/>
  </w:style>
  <w:style w:type="character" w:styleId="Hipercze">
    <w:name w:val="Hyperlink"/>
    <w:basedOn w:val="Domylnaczcionkaakapitu"/>
    <w:uiPriority w:val="99"/>
    <w:rsid w:val="0059789D"/>
    <w:rPr>
      <w:rFonts w:cs="Times New Roman"/>
      <w:color w:val="000080"/>
      <w:u w:val="single"/>
    </w:rPr>
  </w:style>
  <w:style w:type="character" w:customStyle="1" w:styleId="WW8Num4z0">
    <w:name w:val="WW8Num4z0"/>
    <w:rsid w:val="0059789D"/>
    <w:rPr>
      <w:rFonts w:ascii="OpenSymbol" w:eastAsia="OpenSymbol"/>
    </w:rPr>
  </w:style>
  <w:style w:type="character" w:customStyle="1" w:styleId="Domylnaczcionkaakapitu1">
    <w:name w:val="Domyślna czcionka akapitu1"/>
    <w:rsid w:val="0059789D"/>
  </w:style>
  <w:style w:type="character" w:customStyle="1" w:styleId="FontStyle67">
    <w:name w:val="Font Style67"/>
    <w:basedOn w:val="Domylnaczcionkaakapitu1"/>
    <w:rsid w:val="0059789D"/>
    <w:rPr>
      <w:rFonts w:ascii="Times New Roman" w:hAnsi="Times New Roman" w:cs="Helvetica"/>
      <w:b/>
      <w:bCs/>
      <w:i/>
      <w:iCs/>
      <w:sz w:val="22"/>
      <w:szCs w:val="22"/>
    </w:rPr>
  </w:style>
  <w:style w:type="character" w:customStyle="1" w:styleId="Znakinumeracji">
    <w:name w:val="Znaki numeracji"/>
    <w:rsid w:val="0059789D"/>
  </w:style>
  <w:style w:type="paragraph" w:customStyle="1" w:styleId="Nagwek1">
    <w:name w:val="Nagłówek1"/>
    <w:basedOn w:val="Normalny"/>
    <w:next w:val="Tekstpodstawowy"/>
    <w:rsid w:val="0059789D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59789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747C6E"/>
    <w:rPr>
      <w:rFonts w:eastAsia="Arial Unicode MS" w:cs="Mangal"/>
      <w:kern w:val="1"/>
      <w:sz w:val="21"/>
      <w:szCs w:val="21"/>
      <w:lang w:eastAsia="hi-IN" w:bidi="hi-IN"/>
    </w:rPr>
  </w:style>
  <w:style w:type="paragraph" w:styleId="Lista">
    <w:name w:val="List"/>
    <w:basedOn w:val="Tekstpodstawowy"/>
    <w:uiPriority w:val="99"/>
    <w:rsid w:val="0059789D"/>
  </w:style>
  <w:style w:type="paragraph" w:customStyle="1" w:styleId="Podpis1">
    <w:name w:val="Podpis1"/>
    <w:basedOn w:val="Normalny"/>
    <w:rsid w:val="0059789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59789D"/>
    <w:pPr>
      <w:suppressLineNumbers/>
    </w:pPr>
  </w:style>
  <w:style w:type="paragraph" w:customStyle="1" w:styleId="WW-Tekstpodstawowy2">
    <w:name w:val="WW-Tekst podstawowy 2"/>
    <w:basedOn w:val="Normalny"/>
    <w:rsid w:val="0059789D"/>
    <w:pPr>
      <w:autoSpaceDE w:val="0"/>
      <w:spacing w:line="360" w:lineRule="auto"/>
      <w:jc w:val="both"/>
    </w:pPr>
    <w:rPr>
      <w:color w:val="000000"/>
    </w:rPr>
  </w:style>
  <w:style w:type="paragraph" w:customStyle="1" w:styleId="Tekstpodstawowy31">
    <w:name w:val="Tekst podstawowy 31"/>
    <w:basedOn w:val="Normalny"/>
    <w:rsid w:val="0059789D"/>
    <w:rPr>
      <w:b/>
      <w:sz w:val="28"/>
    </w:rPr>
  </w:style>
  <w:style w:type="paragraph" w:customStyle="1" w:styleId="Tekstpodstawowy21">
    <w:name w:val="Tekst podstawowy 21"/>
    <w:basedOn w:val="Normalny"/>
    <w:rsid w:val="0059789D"/>
    <w:pPr>
      <w:ind w:right="330"/>
      <w:jc w:val="center"/>
    </w:pPr>
    <w:rPr>
      <w:sz w:val="32"/>
      <w:szCs w:val="28"/>
    </w:rPr>
  </w:style>
  <w:style w:type="paragraph" w:customStyle="1" w:styleId="Zawartotabeli">
    <w:name w:val="Zawartość tabeli"/>
    <w:basedOn w:val="Normalny"/>
    <w:rsid w:val="0059789D"/>
    <w:pPr>
      <w:suppressLineNumbers/>
    </w:pPr>
  </w:style>
  <w:style w:type="paragraph" w:customStyle="1" w:styleId="Nagwektabeli">
    <w:name w:val="Nagłówek tabeli"/>
    <w:basedOn w:val="Zawartotabeli"/>
    <w:rsid w:val="0059789D"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rsid w:val="002E12F1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73374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733747"/>
    <w:rPr>
      <w:rFonts w:eastAsia="Arial Unicode MS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73374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33747"/>
    <w:rPr>
      <w:rFonts w:eastAsia="Arial Unicode MS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5445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5445"/>
    <w:rPr>
      <w:rFonts w:ascii="Segoe UI" w:eastAsia="Arial Unicode MS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2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17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32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28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69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457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56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35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2404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8083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809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2243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272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6612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8583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2566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933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69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617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3469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040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605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346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52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21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61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894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5825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45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73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1599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544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56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45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1825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35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879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5018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453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180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79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3814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1723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6372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26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8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268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6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6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6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268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78B887-82F5-4CB4-9A76-B83FD8EF7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10</Pages>
  <Words>3268</Words>
  <Characters>19611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ZGM</dc:creator>
  <cp:keywords/>
  <dc:description/>
  <cp:lastModifiedBy>Wioletta</cp:lastModifiedBy>
  <cp:revision>20</cp:revision>
  <cp:lastPrinted>2016-10-18T11:00:00Z</cp:lastPrinted>
  <dcterms:created xsi:type="dcterms:W3CDTF">2016-06-14T11:17:00Z</dcterms:created>
  <dcterms:modified xsi:type="dcterms:W3CDTF">2016-10-18T11:00:00Z</dcterms:modified>
</cp:coreProperties>
</file>