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CA9" w:rsidRPr="00625F9B" w:rsidRDefault="006F3CA9" w:rsidP="00625F9B">
      <w:pPr>
        <w:pStyle w:val="Nagwek1"/>
        <w:spacing w:before="0" w:after="0"/>
        <w:contextualSpacing/>
        <w:jc w:val="center"/>
        <w:rPr>
          <w:i/>
          <w:sz w:val="28"/>
        </w:rPr>
      </w:pPr>
      <w:bookmarkStart w:id="0" w:name="_Toc404150096"/>
      <w:bookmarkStart w:id="1" w:name="_Toc416830698"/>
      <w:bookmarkStart w:id="2" w:name="_Toc420816680"/>
      <w:r w:rsidRPr="00625F9B">
        <w:rPr>
          <w:i/>
          <w:sz w:val="28"/>
        </w:rPr>
        <w:t>Specyfikacja Techniczna</w:t>
      </w:r>
    </w:p>
    <w:p w:rsidR="006F3CA9" w:rsidRDefault="006F3CA9" w:rsidP="00625F9B">
      <w:pPr>
        <w:pStyle w:val="Nagwek1"/>
        <w:spacing w:before="0" w:after="0"/>
        <w:contextualSpacing/>
        <w:jc w:val="center"/>
        <w:rPr>
          <w:i/>
          <w:sz w:val="28"/>
        </w:rPr>
      </w:pPr>
      <w:r w:rsidRPr="00625F9B">
        <w:rPr>
          <w:i/>
          <w:sz w:val="28"/>
        </w:rPr>
        <w:t>dotycząca wykonania i odbioru oznakowania poziomego</w:t>
      </w:r>
    </w:p>
    <w:p w:rsidR="00625F9B" w:rsidRPr="00625F9B" w:rsidRDefault="00625F9B" w:rsidP="00625F9B"/>
    <w:p w:rsidR="006F3CA9" w:rsidRDefault="006F3CA9">
      <w:pPr>
        <w:pStyle w:val="Nagwek1"/>
      </w:pPr>
      <w:r>
        <w:t>1. WSTĘP</w:t>
      </w:r>
      <w:bookmarkEnd w:id="0"/>
      <w:bookmarkEnd w:id="1"/>
      <w:bookmarkEnd w:id="2"/>
    </w:p>
    <w:p w:rsidR="006F3CA9" w:rsidRDefault="006F3CA9">
      <w:pPr>
        <w:pStyle w:val="Nagwek2"/>
      </w:pPr>
      <w:bookmarkStart w:id="3" w:name="_Toc405615031"/>
      <w:bookmarkStart w:id="4" w:name="_Toc407161179"/>
      <w:r>
        <w:t>1.1. Przedmiot ST</w:t>
      </w:r>
      <w:bookmarkEnd w:id="3"/>
      <w:bookmarkEnd w:id="4"/>
    </w:p>
    <w:p w:rsidR="006F3CA9" w:rsidRDefault="006F3CA9">
      <w:pPr>
        <w:pStyle w:val="Standardowytekst"/>
      </w:pPr>
      <w:r>
        <w:tab/>
        <w:t>Przedmiotem niniejszej Specyfikacji Technicznej (ST) są wymagania dotyczące wykonania i odbioru oznakowania poziomego dróg powiatowych i gminnych na terenie miasta Puck.</w:t>
      </w:r>
    </w:p>
    <w:p w:rsidR="006F3CA9" w:rsidRDefault="006F3CA9">
      <w:pPr>
        <w:pStyle w:val="Nagwek2"/>
      </w:pPr>
      <w:bookmarkStart w:id="5" w:name="_Toc405615033"/>
      <w:bookmarkStart w:id="6" w:name="_Toc407161181"/>
      <w:r>
        <w:t>1.2. Zakres robót objętych ST</w:t>
      </w:r>
      <w:bookmarkEnd w:id="5"/>
      <w:bookmarkEnd w:id="6"/>
    </w:p>
    <w:p w:rsidR="006F3CA9" w:rsidRDefault="006F3CA9">
      <w:r>
        <w:tab/>
        <w:t>Ustalenia zawarte w niniejszej specyfikacji dotyczą zasad prowadzenia robót związanych z wykonywaniem i odbiorem oznakowania poziomego cienkowarstwowego na drogach o nawierzchni twardej.</w:t>
      </w:r>
    </w:p>
    <w:p w:rsidR="006F3CA9" w:rsidRDefault="006F3CA9">
      <w:r>
        <w:t>Zakres wykonania obejmuje:</w:t>
      </w:r>
    </w:p>
    <w:p w:rsidR="006F3CA9" w:rsidRDefault="006F3CA9">
      <w:r>
        <w:t>- naniesienie powłoki cienkowarstwowej znaków na nawierzchnię drogi o kształtach i wymiarach zgodnych z istniejącym oznakowaniem i wykonanymi nowymi projektami stałej zmiany organizacji ruchu.</w:t>
      </w:r>
    </w:p>
    <w:p w:rsidR="006F3CA9" w:rsidRDefault="006F3CA9">
      <w:pPr>
        <w:pStyle w:val="Nagwek2"/>
      </w:pPr>
      <w:r>
        <w:t>1.3. Określenia podstawowe</w:t>
      </w:r>
    </w:p>
    <w:p w:rsidR="006F3CA9" w:rsidRDefault="006F3CA9">
      <w:r>
        <w:rPr>
          <w:b/>
        </w:rPr>
        <w:t xml:space="preserve">1.3.1. </w:t>
      </w:r>
      <w:r>
        <w:t>Oznakowanie poziome - znaki drogowe poziome, umieszczone na nawierzchni w postaci linii ciągłych lub przerywanych, pojedynczych lub podwójnych, strzałek, napisów, symboli oraz innych linii związanych z oznaczeniem określonych miejsc na tej nawierzchni. W zależności od rodzaju i sposobu zastosowania znaki poziome mogą mieć znaczenie prowadzące, segregujące, informujące, ostrzegawcze, zakazujące lub nakazujące.</w:t>
      </w:r>
    </w:p>
    <w:p w:rsidR="006F3CA9" w:rsidRDefault="006F3CA9">
      <w:pPr>
        <w:spacing w:before="120"/>
      </w:pPr>
      <w:r>
        <w:rPr>
          <w:b/>
        </w:rPr>
        <w:t xml:space="preserve">1.3.2. </w:t>
      </w:r>
      <w:r>
        <w:t>Znaki podłużne - linie równoległe do osi jezdni lub odchylone od niej pod niewielkim kątem, występujące jako linie: – pojedyncze: przerywane lub ciągłe, segregacyjne lub krawędziowe, – podwójne: ciągłe z przerywanymi, ciągłe lub przerywane.</w:t>
      </w:r>
    </w:p>
    <w:p w:rsidR="006F3CA9" w:rsidRDefault="006F3CA9">
      <w:pPr>
        <w:spacing w:before="120"/>
      </w:pPr>
      <w:r>
        <w:rPr>
          <w:b/>
        </w:rPr>
        <w:t xml:space="preserve">1.3.3. </w:t>
      </w:r>
      <w:r>
        <w:t>Strzałki - znaki poziome na nawierzchni, występujące jako strzałki kierunkowe służące do wskazania dozwolonego kierunku zjazdu z pasa oraz strzałki naprowadzające, które uprzedzają o konieczności opuszczenia pasa, na którym się znajdują.</w:t>
      </w:r>
    </w:p>
    <w:p w:rsidR="006F3CA9" w:rsidRDefault="006F3CA9">
      <w:pPr>
        <w:spacing w:before="120"/>
      </w:pPr>
      <w:r>
        <w:rPr>
          <w:b/>
        </w:rPr>
        <w:t xml:space="preserve">1.3.4. </w:t>
      </w:r>
      <w:r>
        <w:t>Znaki poprzeczne - znaki służące do oznaczenia miejsc przeznaczonych do ruchu pieszych i rowerzystów w poprzek drogi, miejsc wymagających zatrzymania pojazdów oraz miejsc lokalizacji progów zwalniających.</w:t>
      </w:r>
    </w:p>
    <w:p w:rsidR="006F3CA9" w:rsidRDefault="006F3CA9">
      <w:pPr>
        <w:spacing w:before="120"/>
      </w:pPr>
      <w:r>
        <w:rPr>
          <w:b/>
        </w:rPr>
        <w:t xml:space="preserve">1.3.5. </w:t>
      </w:r>
      <w:r>
        <w:t>Znaki uzupełniające - znaki o różnych kształtach, wymiarach i przeznaczeniu, występujące w postaci symboli, napisów, linii przystankowych, stanowisk i pasów postojowych, powierzchni wyłączonych z ruchu oraz symboli znaków pionowych w oznakowaniu poziomym.</w:t>
      </w:r>
    </w:p>
    <w:p w:rsidR="006F3CA9" w:rsidRDefault="006F3CA9">
      <w:pPr>
        <w:spacing w:before="120"/>
      </w:pPr>
      <w:r>
        <w:rPr>
          <w:b/>
        </w:rPr>
        <w:t xml:space="preserve">1.3.6. </w:t>
      </w:r>
      <w:r>
        <w:t xml:space="preserve">Materiały do znakowania cienkowarstwowego - farby rozpuszczalnikowe, wodorozcieńczalne i chemoutwardzalne nakładane warstwą grubości od </w:t>
      </w:r>
      <w:smartTag w:uri="urn:schemas-microsoft-com:office:smarttags" w:element="metricconverter">
        <w:smartTagPr>
          <w:attr w:name="ProductID" w:val="0,4 mm"/>
        </w:smartTagPr>
        <w:r>
          <w:t>0,4 mm</w:t>
        </w:r>
      </w:smartTag>
      <w:r>
        <w:t xml:space="preserve"> do </w:t>
      </w:r>
      <w:smartTag w:uri="urn:schemas-microsoft-com:office:smarttags" w:element="metricconverter">
        <w:smartTagPr>
          <w:attr w:name="ProductID" w:val="0,8 mm"/>
        </w:smartTagPr>
        <w:r>
          <w:t>0,8 mm</w:t>
        </w:r>
      </w:smartTag>
      <w:r>
        <w:t>, mierzoną na mokro.</w:t>
      </w:r>
    </w:p>
    <w:p w:rsidR="006F3CA9" w:rsidRDefault="006F3CA9">
      <w:pPr>
        <w:spacing w:before="120"/>
      </w:pPr>
      <w:r>
        <w:rPr>
          <w:b/>
        </w:rPr>
        <w:t xml:space="preserve">1.3.7. </w:t>
      </w:r>
      <w:r>
        <w:t>Kulki szklane – materiał w postaci przezroczystych, kulistych cząstek szklanych do posypywania lub narzucania pod ciśnieniem na oznakowanie wykonane materiałami w stanie ciekłym, w celu uzyskania widzialności oznakowania w nocy przez odbicie powrotne padającej wiązki światła pojazdu w kierunku kierowcy. Kulki szklane są także składnikami materiałów grubowarstwowych.</w:t>
      </w:r>
    </w:p>
    <w:p w:rsidR="006F3CA9" w:rsidRDefault="006F3CA9">
      <w:pPr>
        <w:spacing w:before="120"/>
      </w:pPr>
      <w:r>
        <w:rPr>
          <w:b/>
        </w:rPr>
        <w:t xml:space="preserve">1.3.8. </w:t>
      </w:r>
      <w:r>
        <w:t>Kruszywo przeciwpoślizgowe – twarde ziarna pochodzenia naturalnego lub sztucznego stosowane do zapewnienia własności przeciwpoślizgowych poziomym oznakowaniom dróg, stosowane samo lub w mieszaninie z kulkami szklanymi.</w:t>
      </w:r>
    </w:p>
    <w:p w:rsidR="006F3CA9" w:rsidRPr="00CB596B" w:rsidRDefault="006F3CA9">
      <w:pPr>
        <w:spacing w:before="120"/>
      </w:pPr>
      <w:r w:rsidRPr="00CB596B">
        <w:rPr>
          <w:b/>
        </w:rPr>
        <w:t>1.3.9</w:t>
      </w:r>
      <w:r w:rsidRPr="00CB596B">
        <w:t>. Oznakowanie nowe – oznakowanie, w którym zakończył się czas schnięcia i nie upłynęło 30 dni od wykonania oznakowania. Pomiary właściwości oznakowania należy wykonywać od 14 do 30 dnia po wykonaniu oznakowania.</w:t>
      </w:r>
    </w:p>
    <w:p w:rsidR="006F3CA9" w:rsidRDefault="006F3CA9">
      <w:pPr>
        <w:pStyle w:val="Nagwek1"/>
      </w:pPr>
      <w:bookmarkStart w:id="7" w:name="_Toc420816681"/>
      <w:r>
        <w:t>2. materiały</w:t>
      </w:r>
      <w:bookmarkEnd w:id="7"/>
    </w:p>
    <w:p w:rsidR="006F3CA9" w:rsidRDefault="006F3CA9">
      <w:pPr>
        <w:pStyle w:val="Nagwek2"/>
      </w:pPr>
      <w:r>
        <w:t>2.1. Dokument dopuszczający do stosowania materiałów</w:t>
      </w:r>
    </w:p>
    <w:p w:rsidR="006F3CA9" w:rsidRDefault="006F3CA9">
      <w:r>
        <w:tab/>
        <w:t xml:space="preserve">Materiały stosowane przez Wykonawcę do poziomego oznakowania dróg powinny spełniać warunki postawione w rozporządzeniu Ministra Infrastruktury [6]. </w:t>
      </w:r>
    </w:p>
    <w:p w:rsidR="006F3CA9" w:rsidRDefault="006F3CA9" w:rsidP="007A0D33">
      <w:pPr>
        <w:ind w:firstLine="709"/>
      </w:pPr>
      <w:r>
        <w:lastRenderedPageBreak/>
        <w:t xml:space="preserve">Producenci powinni oznakować wyroby znakiem budowlanym B, zgodnie z rozporządzeniem Ministra Infrastruktury [7], co oznacza wystawienie deklaracji zgodności z aprobatą techniczną (np. dla farb oraz mas chemoutwardzalnych i termoplastycznych) lub  znakiem CE, zgodnie z rozporządzeniem Ministra Infrastruktury [11], co oznacza wystawienie deklaracji zgodności z normą zharmonizowaną (np. dla kulek szklanych [3, 3a]. </w:t>
      </w:r>
    </w:p>
    <w:p w:rsidR="006F3CA9" w:rsidRDefault="006F3CA9" w:rsidP="007A0D33">
      <w:pPr>
        <w:pStyle w:val="Tekstpodstawowy2"/>
        <w:ind w:firstLine="709"/>
        <w:jc w:val="both"/>
      </w:pPr>
      <w:r>
        <w:t>Aprobaty techniczne wystawione przed czasem wejścia w życie rozporządzenia [14]  nie mogą być zmieniane lecz zachowują ważność przez okres, na jaki zostały wydane. W tym przypadku do oznakowania wyrobu znakiem budowlanym B wystarcza deklaracja zgodności z aprobatą techniczną.</w:t>
      </w:r>
    </w:p>
    <w:p w:rsidR="006F3CA9" w:rsidRDefault="006F3CA9">
      <w:pPr>
        <w:pStyle w:val="Nagwek2"/>
      </w:pPr>
      <w:r>
        <w:t>2.2. Badanie materiałów, których jakość budzi wątpliwość</w:t>
      </w:r>
    </w:p>
    <w:p w:rsidR="006F3CA9" w:rsidRDefault="006F3CA9">
      <w:r>
        <w:tab/>
        <w:t>Wykonawca powinien przeprowadzić dodatkowe badania tych materiałów, które budzą wątpliwości jego lub Zamawiającego, co do jakości, w celu stwierdzenia czy odpowiadają one wymaganiom określonym w aprobacie technicznej. Badania te Wykonawca zleci IBDiM lub akredytowanemu laboratorium drogowemu. Badania powinny być wykonane zgodnie z PN-EN 1871:2003 [5] lub Warunkami Technicznymi POD-97 [8] lub POD-2006 po ich wydaniu [9].</w:t>
      </w:r>
    </w:p>
    <w:p w:rsidR="006F3CA9" w:rsidRDefault="006F3CA9">
      <w:pPr>
        <w:pStyle w:val="Nagwek2"/>
      </w:pPr>
      <w:r>
        <w:t>2.3. Oznakowanie opakowań</w:t>
      </w:r>
    </w:p>
    <w:p w:rsidR="006F3CA9" w:rsidRDefault="006F3CA9">
      <w:r>
        <w:tab/>
        <w:t>Wykonawca powinien żądać od producenta, aby oznakowanie opakowań materiałów do poziomego znakowania dróg było wykonane zgodnie z PN-O-79252 [2], a ponadto aby na każdym opakowaniu był umieszczony trwały napis zawierający:</w:t>
      </w:r>
    </w:p>
    <w:p w:rsidR="006F3CA9" w:rsidRDefault="006F3CA9">
      <w:pPr>
        <w:numPr>
          <w:ilvl w:val="0"/>
          <w:numId w:val="1"/>
        </w:numPr>
      </w:pPr>
      <w:r>
        <w:t>nazwę i adres producenta,</w:t>
      </w:r>
    </w:p>
    <w:p w:rsidR="006F3CA9" w:rsidRDefault="006F3CA9">
      <w:pPr>
        <w:numPr>
          <w:ilvl w:val="0"/>
          <w:numId w:val="1"/>
        </w:numPr>
      </w:pPr>
      <w:r>
        <w:t>datę produkcji i termin przydatności do użycia,</w:t>
      </w:r>
    </w:p>
    <w:p w:rsidR="006F3CA9" w:rsidRDefault="006F3CA9">
      <w:pPr>
        <w:numPr>
          <w:ilvl w:val="0"/>
          <w:numId w:val="1"/>
        </w:numPr>
      </w:pPr>
      <w:r>
        <w:t>masę netto,</w:t>
      </w:r>
    </w:p>
    <w:p w:rsidR="006F3CA9" w:rsidRDefault="006F3CA9">
      <w:pPr>
        <w:numPr>
          <w:ilvl w:val="0"/>
          <w:numId w:val="1"/>
        </w:numPr>
      </w:pPr>
      <w:r>
        <w:t>numer partii i datę produkcji,</w:t>
      </w:r>
    </w:p>
    <w:p w:rsidR="006F3CA9" w:rsidRDefault="006F3CA9">
      <w:pPr>
        <w:numPr>
          <w:ilvl w:val="0"/>
          <w:numId w:val="1"/>
        </w:numPr>
      </w:pPr>
      <w:r>
        <w:t>informację, że wyrób posiada aprobatę techniczną IBDiM i jej numer,</w:t>
      </w:r>
    </w:p>
    <w:p w:rsidR="006F3CA9" w:rsidRDefault="006F3CA9">
      <w:pPr>
        <w:numPr>
          <w:ilvl w:val="0"/>
          <w:numId w:val="1"/>
        </w:numPr>
      </w:pPr>
      <w:r>
        <w:t xml:space="preserve">nazwę jednostki certyfikującej i numer certyfikatu, jeśli dotyczy [8], </w:t>
      </w:r>
    </w:p>
    <w:p w:rsidR="006F3CA9" w:rsidRDefault="006F3CA9">
      <w:pPr>
        <w:numPr>
          <w:ilvl w:val="0"/>
          <w:numId w:val="1"/>
        </w:numPr>
      </w:pPr>
      <w:r>
        <w:t>znak budowlany „B” wg rozporządzenia Ministra Infrastruktury [7] i/lub znak „CE” wg rozporządzenia Ministra Infrastruktury [11],</w:t>
      </w:r>
    </w:p>
    <w:p w:rsidR="006F3CA9" w:rsidRDefault="006F3CA9">
      <w:pPr>
        <w:numPr>
          <w:ilvl w:val="0"/>
          <w:numId w:val="1"/>
        </w:numPr>
      </w:pPr>
      <w:r>
        <w:t>informację o szkodliwości i klasie zagrożenia pożarowego,</w:t>
      </w:r>
    </w:p>
    <w:p w:rsidR="006F3CA9" w:rsidRDefault="006F3CA9">
      <w:pPr>
        <w:numPr>
          <w:ilvl w:val="0"/>
          <w:numId w:val="1"/>
        </w:numPr>
      </w:pPr>
      <w:r>
        <w:t>ewentualne wskazówki dla użytkowników.</w:t>
      </w:r>
    </w:p>
    <w:p w:rsidR="006F3CA9" w:rsidRDefault="006F3CA9" w:rsidP="001B413D">
      <w:pPr>
        <w:ind w:firstLine="709"/>
      </w:pPr>
      <w:r>
        <w:t>W przypadku farb rozpuszczalnikowych i wyrobów chemoutwardzalnych oznakowanie opakowania powinno być zgodne z rozporządzeniem Ministra Zdrowia [12].</w:t>
      </w:r>
    </w:p>
    <w:p w:rsidR="006F3CA9" w:rsidRDefault="006F3CA9">
      <w:pPr>
        <w:pStyle w:val="Nagwek2"/>
        <w:numPr>
          <w:ilvl w:val="12"/>
          <w:numId w:val="0"/>
        </w:numPr>
      </w:pPr>
      <w:r>
        <w:t>2.4. Wymagania wobec materiałów do poziomego oznakowania dróg</w:t>
      </w:r>
    </w:p>
    <w:p w:rsidR="006F3CA9" w:rsidRDefault="006F3CA9">
      <w:pPr>
        <w:numPr>
          <w:ilvl w:val="12"/>
          <w:numId w:val="0"/>
        </w:numPr>
        <w:spacing w:after="120"/>
      </w:pPr>
      <w:r>
        <w:rPr>
          <w:b/>
        </w:rPr>
        <w:t xml:space="preserve">2.4.1. </w:t>
      </w:r>
      <w:r>
        <w:t xml:space="preserve"> Materiały do oznakowań cienkowarstwowych</w:t>
      </w:r>
    </w:p>
    <w:p w:rsidR="006F3CA9" w:rsidRDefault="006F3CA9">
      <w:pPr>
        <w:numPr>
          <w:ilvl w:val="12"/>
          <w:numId w:val="0"/>
        </w:numPr>
      </w:pPr>
      <w:r>
        <w:tab/>
        <w:t xml:space="preserve">Materiałami do wykonywania oznakowania cienkowarstwowego powinny być farby nakładane warstwą grubości od </w:t>
      </w:r>
      <w:smartTag w:uri="urn:schemas-microsoft-com:office:smarttags" w:element="metricconverter">
        <w:smartTagPr>
          <w:attr w:name="ProductID" w:val="0,4 mm"/>
        </w:smartTagPr>
        <w:r>
          <w:t>0,4 mm</w:t>
        </w:r>
      </w:smartTag>
      <w:r>
        <w:t xml:space="preserve"> do </w:t>
      </w:r>
      <w:smartTag w:uri="urn:schemas-microsoft-com:office:smarttags" w:element="metricconverter">
        <w:smartTagPr>
          <w:attr w:name="ProductID" w:val="0,8 mm"/>
        </w:smartTagPr>
        <w:r>
          <w:t>0,8 mm</w:t>
        </w:r>
      </w:smartTag>
      <w:r>
        <w:t xml:space="preserve"> (na mokro). Powinny to być ciekłe produkty zawierające ciała stałe zdyspergowane w roztworze żywicy syntetycznej w rozpuszczalniku organicznym lub w wodzie, które mogą występować w układach jedno- lub wieloskładnikowych.</w:t>
      </w:r>
    </w:p>
    <w:p w:rsidR="006F3CA9" w:rsidRDefault="006F3CA9">
      <w:pPr>
        <w:numPr>
          <w:ilvl w:val="12"/>
          <w:numId w:val="0"/>
        </w:numPr>
      </w:pPr>
      <w:r>
        <w:tab/>
        <w:t xml:space="preserve"> Podczas nakładania farb, do znakowania cienkowarstwowego, na nawierzchnię pędzlem, wałkiem lub przez natrysk, powinny one tworzyć warstwę kohezyjną w procesie odparowania i/lub w procesie chemicznym.</w:t>
      </w:r>
    </w:p>
    <w:p w:rsidR="006F3CA9" w:rsidRDefault="006F3CA9">
      <w:pPr>
        <w:numPr>
          <w:ilvl w:val="12"/>
          <w:numId w:val="0"/>
        </w:numPr>
        <w:spacing w:after="120"/>
      </w:pPr>
      <w:r>
        <w:tab/>
        <w:t xml:space="preserve">Właściwości fizyczne poszczególnych materiałów do poziomego oznakowania cienkowarstwowego określają aprobaty techniczne. </w:t>
      </w:r>
    </w:p>
    <w:p w:rsidR="006F3CA9" w:rsidRDefault="006F3CA9" w:rsidP="00FA381B">
      <w:pPr>
        <w:keepNext/>
        <w:numPr>
          <w:ilvl w:val="12"/>
          <w:numId w:val="0"/>
        </w:numPr>
      </w:pPr>
      <w:r>
        <w:rPr>
          <w:b/>
        </w:rPr>
        <w:t xml:space="preserve">2.4.2. </w:t>
      </w:r>
      <w:r>
        <w:t>Zawartość składników lotnych w materiałach do znakowania cienkowarstwowego</w:t>
      </w:r>
    </w:p>
    <w:p w:rsidR="006F3CA9" w:rsidRDefault="006F3CA9">
      <w:pPr>
        <w:numPr>
          <w:ilvl w:val="12"/>
          <w:numId w:val="0"/>
        </w:numPr>
        <w:spacing w:before="120"/>
      </w:pPr>
      <w:r>
        <w:tab/>
        <w:t xml:space="preserve">Zawartość składników lotnych (rozpuszczalników organicznych) nie powinna przekraczać 25% (m/m) w postaci gotowej do aplikacji, w materiałach do znakowania cienkowarstwowego. </w:t>
      </w:r>
    </w:p>
    <w:p w:rsidR="006F3CA9" w:rsidRDefault="006F3CA9">
      <w:pPr>
        <w:numPr>
          <w:ilvl w:val="12"/>
          <w:numId w:val="0"/>
        </w:numPr>
      </w:pPr>
      <w:r>
        <w:tab/>
        <w:t>Nie dopuszcza się stosowania materiałów zawierających rozpuszczalnik aromatyczny (jak np. toluen, ksylen, etylobenzen) w ilości większej niż 8 % (m/m). Nie dopuszcza się stosowania materiałów zawierających benzen i rozpuszczalniki chlorowane.</w:t>
      </w:r>
    </w:p>
    <w:p w:rsidR="006F3CA9" w:rsidRDefault="006F3CA9" w:rsidP="00FA381B">
      <w:pPr>
        <w:numPr>
          <w:ilvl w:val="12"/>
          <w:numId w:val="0"/>
        </w:numPr>
        <w:ind w:firstLine="709"/>
      </w:pPr>
      <w:r>
        <w:t xml:space="preserve">Do końca 2007 r. dopuszcza się stosowanie farb rozpuszczalnikowych o zawartości składników lotnych do 30 % (m/m) i rozpuszczalników aromatycznych do 10 % (m/m). </w:t>
      </w:r>
    </w:p>
    <w:p w:rsidR="006F3CA9" w:rsidRDefault="006F3CA9">
      <w:pPr>
        <w:numPr>
          <w:ilvl w:val="12"/>
          <w:numId w:val="0"/>
        </w:numPr>
        <w:spacing w:before="120"/>
      </w:pPr>
      <w:r>
        <w:rPr>
          <w:b/>
        </w:rPr>
        <w:t xml:space="preserve">2.4.3. </w:t>
      </w:r>
      <w:r>
        <w:t>Kulki szklane</w:t>
      </w:r>
    </w:p>
    <w:p w:rsidR="006F3CA9" w:rsidRDefault="006F3CA9">
      <w:pPr>
        <w:numPr>
          <w:ilvl w:val="12"/>
          <w:numId w:val="0"/>
        </w:numPr>
        <w:spacing w:before="120"/>
      </w:pPr>
      <w:r>
        <w:tab/>
        <w:t>Materiały w postaci kulek szklanych refleksyjnych do posypywania lub narzucania pod ciśnieniem na materiały do oznakowania powinny zapewniać widzialność w nocy poprzez odbicie powrotne w kierunku pojazdu wiązki światła wysyłanej przez reflektory pojazdu.</w:t>
      </w:r>
    </w:p>
    <w:p w:rsidR="006F3CA9" w:rsidRDefault="006F3CA9">
      <w:pPr>
        <w:numPr>
          <w:ilvl w:val="12"/>
          <w:numId w:val="0"/>
        </w:numPr>
      </w:pPr>
      <w:r>
        <w:lastRenderedPageBreak/>
        <w:tab/>
        <w:t xml:space="preserve">Kulki szklane powinny charakteryzować się współczynnikiem załamania powyżej 1,50, wykazywać odporność na wodę, kwas solny, chlorek wapniowy i siarczek sodowy oraz zawierać nie więcej niż 20% kulek z defektami w przypadku kulek o maksymalnej średnicy poniżej </w:t>
      </w:r>
      <w:smartTag w:uri="urn:schemas-microsoft-com:office:smarttags" w:element="metricconverter">
        <w:smartTagPr>
          <w:attr w:name="ProductID" w:val="1 mm"/>
        </w:smartTagPr>
        <w:r>
          <w:t>1 mm</w:t>
        </w:r>
      </w:smartTag>
      <w:r>
        <w:t xml:space="preserve"> oraz 30 % w przypadku kulek o maksymalnej średnicy równej i większej niż </w:t>
      </w:r>
      <w:smartTag w:uri="urn:schemas-microsoft-com:office:smarttags" w:element="metricconverter">
        <w:smartTagPr>
          <w:attr w:name="ProductID" w:val="1 mm"/>
        </w:smartTagPr>
        <w:r>
          <w:t>1 mm</w:t>
        </w:r>
      </w:smartTag>
      <w:r>
        <w:t>. Krzywa uziarnienia powinna mieścić się w krzywych granicznych podanych w wymaganiach aprobaty technicznej wyrobu lub w certyfikacie CE.</w:t>
      </w:r>
    </w:p>
    <w:p w:rsidR="006F3CA9" w:rsidRDefault="006F3CA9">
      <w:pPr>
        <w:numPr>
          <w:ilvl w:val="12"/>
          <w:numId w:val="0"/>
        </w:numPr>
      </w:pPr>
      <w:r>
        <w:tab/>
        <w:t xml:space="preserve">Kulki szklane hydrofobizowane powinny ponadto wykazywać stopień hydrofobizacji co najmniej 80%. </w:t>
      </w:r>
    </w:p>
    <w:p w:rsidR="006F3CA9" w:rsidRDefault="006F3CA9">
      <w:pPr>
        <w:numPr>
          <w:ilvl w:val="12"/>
          <w:numId w:val="0"/>
        </w:numPr>
      </w:pPr>
      <w:r>
        <w:tab/>
        <w:t>Wymagania i metody badań kulek szklanych podano w PN-EN 1423:2000[3, 3a].</w:t>
      </w:r>
    </w:p>
    <w:p w:rsidR="006F3CA9" w:rsidRDefault="006F3CA9">
      <w:pPr>
        <w:numPr>
          <w:ilvl w:val="12"/>
          <w:numId w:val="0"/>
        </w:numPr>
      </w:pPr>
      <w:r>
        <w:tab/>
        <w:t>Właściwości kulek szklanych określają odpowiednie aprobaty techniczne, lub certyfikaty „CE”.</w:t>
      </w:r>
    </w:p>
    <w:p w:rsidR="006F3CA9" w:rsidRDefault="006F3CA9" w:rsidP="00F5449D">
      <w:pPr>
        <w:spacing w:before="120"/>
      </w:pPr>
      <w:r>
        <w:rPr>
          <w:b/>
        </w:rPr>
        <w:t xml:space="preserve">2.4.4. </w:t>
      </w:r>
      <w:r>
        <w:t>Wymagania wobec materiałów ze względu na ochronę warunków pracy i środowiska</w:t>
      </w:r>
    </w:p>
    <w:p w:rsidR="006F3CA9" w:rsidRDefault="006F3CA9" w:rsidP="00F5449D">
      <w:pPr>
        <w:spacing w:before="120"/>
      </w:pPr>
      <w:r>
        <w:tab/>
        <w:t>Materiały stosowane do znakowania nawierzchni nie powinny zawierać substancji zagrażających zdrowiu ludzi i powodujących skażenie środowiska.</w:t>
      </w:r>
    </w:p>
    <w:p w:rsidR="006F3CA9" w:rsidRDefault="006F3CA9">
      <w:pPr>
        <w:pStyle w:val="Nagwek1"/>
      </w:pPr>
      <w:bookmarkStart w:id="8" w:name="_Toc420816682"/>
      <w:r>
        <w:t>3. sprzęt</w:t>
      </w:r>
      <w:bookmarkEnd w:id="8"/>
    </w:p>
    <w:p w:rsidR="006F3CA9" w:rsidRDefault="006F3CA9">
      <w:pPr>
        <w:pStyle w:val="Nagwek2"/>
      </w:pPr>
      <w:r>
        <w:t>3.1. Sprzęt do wykonania oznakowania poziomego</w:t>
      </w:r>
    </w:p>
    <w:p w:rsidR="006F3CA9" w:rsidRDefault="006F3CA9">
      <w:r>
        <w:tab/>
        <w:t>Wykonawca przystępujący do wykonania oznakowania poziomego, w zależności od zakresu robót, powinien wykazać się możliwością korzystania z następującego sprzętu:</w:t>
      </w:r>
    </w:p>
    <w:p w:rsidR="006F3CA9" w:rsidRDefault="006F3CA9">
      <w:pPr>
        <w:numPr>
          <w:ilvl w:val="0"/>
          <w:numId w:val="1"/>
        </w:numPr>
      </w:pPr>
      <w:r>
        <w:t>szczotek mechanicznych (zaleca się stosowanie szczotek wyposażonych w urządzenia odpylające) oraz szczotek ręcznych,</w:t>
      </w:r>
    </w:p>
    <w:p w:rsidR="006F3CA9" w:rsidRDefault="006F3CA9">
      <w:pPr>
        <w:numPr>
          <w:ilvl w:val="0"/>
          <w:numId w:val="1"/>
        </w:numPr>
      </w:pPr>
      <w:r>
        <w:t>frezarek,</w:t>
      </w:r>
    </w:p>
    <w:p w:rsidR="006F3CA9" w:rsidRDefault="006F3CA9">
      <w:pPr>
        <w:numPr>
          <w:ilvl w:val="0"/>
          <w:numId w:val="1"/>
        </w:numPr>
      </w:pPr>
      <w:r>
        <w:t>sprężarek,</w:t>
      </w:r>
    </w:p>
    <w:p w:rsidR="006F3CA9" w:rsidRDefault="006F3CA9">
      <w:pPr>
        <w:numPr>
          <w:ilvl w:val="0"/>
          <w:numId w:val="1"/>
        </w:numPr>
      </w:pPr>
      <w:r>
        <w:t>malowarek,</w:t>
      </w:r>
    </w:p>
    <w:p w:rsidR="006F3CA9" w:rsidRDefault="006F3CA9">
      <w:pPr>
        <w:numPr>
          <w:ilvl w:val="12"/>
          <w:numId w:val="0"/>
        </w:numPr>
        <w:spacing w:after="120"/>
        <w:ind w:firstLine="709"/>
      </w:pPr>
      <w:r>
        <w:t>Wykonawca powinien zapewnić odpowiednią jakość, ilość i wydajność malowarek proporcjonalną do wielkości i czasu wykonania całego zakresu robót.</w:t>
      </w:r>
    </w:p>
    <w:p w:rsidR="006F3CA9" w:rsidRDefault="006F3CA9">
      <w:pPr>
        <w:pStyle w:val="Nagwek1"/>
        <w:numPr>
          <w:ilvl w:val="12"/>
          <w:numId w:val="0"/>
        </w:numPr>
      </w:pPr>
      <w:bookmarkStart w:id="9" w:name="_Toc420816684"/>
      <w:r>
        <w:t>4. wykonanie robót</w:t>
      </w:r>
      <w:bookmarkEnd w:id="9"/>
    </w:p>
    <w:p w:rsidR="006F3CA9" w:rsidRDefault="006F3CA9">
      <w:pPr>
        <w:pStyle w:val="Nagwek2"/>
        <w:numPr>
          <w:ilvl w:val="12"/>
          <w:numId w:val="0"/>
        </w:numPr>
      </w:pPr>
      <w:r>
        <w:t>4.1. Warunki atmosferyczne</w:t>
      </w:r>
    </w:p>
    <w:p w:rsidR="006F3CA9" w:rsidRDefault="006F3CA9">
      <w:pPr>
        <w:numPr>
          <w:ilvl w:val="12"/>
          <w:numId w:val="0"/>
        </w:numPr>
      </w:pPr>
      <w:r>
        <w:tab/>
        <w:t>W czasie wykonywania oznakowania temperatura nawierzchni i powietrza powinna wynosić co najmniej 5</w:t>
      </w:r>
      <w:r>
        <w:rPr>
          <w:vertAlign w:val="superscript"/>
        </w:rPr>
        <w:t>o</w:t>
      </w:r>
      <w:r>
        <w:t>C, a wilgotność względna powietrza powinna być zgodna z zaleceniami producenta lub wynosić co najwyżej 85%.</w:t>
      </w:r>
    </w:p>
    <w:p w:rsidR="006F3CA9" w:rsidRDefault="006F3CA9">
      <w:pPr>
        <w:pStyle w:val="Nagwek2"/>
        <w:numPr>
          <w:ilvl w:val="12"/>
          <w:numId w:val="0"/>
        </w:numPr>
      </w:pPr>
      <w:r>
        <w:t>4.2. Przygotowanie podłoża do wykonania znakowania</w:t>
      </w:r>
    </w:p>
    <w:p w:rsidR="006F3CA9" w:rsidRDefault="006F3CA9">
      <w:pPr>
        <w:numPr>
          <w:ilvl w:val="12"/>
          <w:numId w:val="0"/>
        </w:numPr>
      </w:pPr>
      <w:r>
        <w:tab/>
        <w:t>Przed wykonaniem znakowania poziomego należy oczyścić powierzchnię nawierzchni malowanej z pyłu, kurzu, piasku, smarów, olejów i innych zanieczyszczeń.</w:t>
      </w:r>
    </w:p>
    <w:p w:rsidR="006F3CA9" w:rsidRDefault="006F3CA9">
      <w:pPr>
        <w:numPr>
          <w:ilvl w:val="12"/>
          <w:numId w:val="0"/>
        </w:numPr>
      </w:pPr>
      <w:r>
        <w:tab/>
        <w:t>Powierzchnia nawierzchni przygotowana do wykonania oznakowania poziomego musi być czysta i sucha.</w:t>
      </w:r>
    </w:p>
    <w:p w:rsidR="006F3CA9" w:rsidRDefault="006F3CA9">
      <w:pPr>
        <w:pStyle w:val="Nagwek2"/>
        <w:numPr>
          <w:ilvl w:val="12"/>
          <w:numId w:val="0"/>
        </w:numPr>
      </w:pPr>
      <w:r>
        <w:t>4.3. Wykonanie oznakowania drogi</w:t>
      </w:r>
    </w:p>
    <w:p w:rsidR="006F3CA9" w:rsidRDefault="006F3CA9">
      <w:pPr>
        <w:pStyle w:val="Nagwek2"/>
        <w:numPr>
          <w:ilvl w:val="12"/>
          <w:numId w:val="0"/>
        </w:numPr>
        <w:spacing w:before="0"/>
      </w:pPr>
      <w:r>
        <w:t>4.3.1.</w:t>
      </w:r>
      <w:r>
        <w:rPr>
          <w:b w:val="0"/>
        </w:rPr>
        <w:t xml:space="preserve"> </w:t>
      </w:r>
      <w:r>
        <w:t xml:space="preserve"> </w:t>
      </w:r>
      <w:r>
        <w:rPr>
          <w:b w:val="0"/>
        </w:rPr>
        <w:t>Dostarczenie materiałów i spełnienie zaleceń producenta materiałów</w:t>
      </w:r>
    </w:p>
    <w:p w:rsidR="006F3CA9" w:rsidRDefault="006F3CA9">
      <w:pPr>
        <w:numPr>
          <w:ilvl w:val="12"/>
          <w:numId w:val="0"/>
        </w:numPr>
      </w:pPr>
      <w:r>
        <w:tab/>
        <w:t>Materiały do znakowania drogi, spełniające wymagania podane w punkcie 2, powinny być dostarczone w oryginalnych opakowaniach handlowych i stosowane zgodnie z zaleceniami producenta oraz wymaganiami znajdującymi się w aprobacie technicznej.</w:t>
      </w:r>
    </w:p>
    <w:p w:rsidR="006F3CA9" w:rsidRDefault="006F3CA9">
      <w:pPr>
        <w:numPr>
          <w:ilvl w:val="12"/>
          <w:numId w:val="0"/>
        </w:numPr>
        <w:spacing w:before="120"/>
      </w:pPr>
      <w:r>
        <w:rPr>
          <w:b/>
        </w:rPr>
        <w:t xml:space="preserve">4.3.2. </w:t>
      </w:r>
      <w:r>
        <w:t>Wykonanie oznakowania drogi materiałami cienkowarstwowymi</w:t>
      </w:r>
    </w:p>
    <w:p w:rsidR="006F3CA9" w:rsidRDefault="006F3CA9">
      <w:pPr>
        <w:numPr>
          <w:ilvl w:val="12"/>
          <w:numId w:val="0"/>
        </w:numPr>
        <w:spacing w:before="120"/>
      </w:pPr>
      <w:r>
        <w:tab/>
        <w:t>Wykonanie znakowania powinno być zgodne z zaleceniami producenta materiałów, a w przypadku ich braku lub niepełnych danych - zgodne z poniższymi wskazaniami.</w:t>
      </w:r>
    </w:p>
    <w:p w:rsidR="006F3CA9" w:rsidRDefault="006F3CA9">
      <w:pPr>
        <w:numPr>
          <w:ilvl w:val="12"/>
          <w:numId w:val="0"/>
        </w:numPr>
      </w:pPr>
      <w:r>
        <w:tab/>
        <w:t xml:space="preserve">Farbę do znakowania cienkowarstwowego po otwarciu opakowania należy wymieszać w czasie od 2 do 4 minut do uzyskania pełnej jednorodności. Przed lub w czasie napełniania zbiornika malowarki zaleca się przecedzić farbę przez sito </w:t>
      </w:r>
      <w:smartTag w:uri="urn:schemas-microsoft-com:office:smarttags" w:element="metricconverter">
        <w:smartTagPr>
          <w:attr w:name="ProductID" w:val="0,6 mm"/>
        </w:smartTagPr>
        <w:r>
          <w:t>0,6 mm</w:t>
        </w:r>
      </w:smartTag>
      <w:r>
        <w:t>. Nie wolno stosować do malowania mechanicznego farby, w której osad na dnie opakowania nie daje się całkowicie wymieszać lub na jej powierzchni znajduje się kożuch.</w:t>
      </w:r>
    </w:p>
    <w:p w:rsidR="006F3CA9" w:rsidRDefault="006F3CA9">
      <w:pPr>
        <w:numPr>
          <w:ilvl w:val="12"/>
          <w:numId w:val="0"/>
        </w:numPr>
      </w:pPr>
      <w:r>
        <w:tab/>
        <w:t>Farbę należy nakładać równomierną warstwą o żądanej grubości, zachowując wymiary i ostrość krawędzi. Grubość nanoszonej warstwy zaleca się kontrolować przy pomocy grzebienia pomiarowego na płytce szklanej lub metalowej podkładanej na drodze malowarki. Ilość farby zużyta w czasie prac, określona przez średnie zużycie na metr kwadratowy nie może się różnić od ilości ustalonej, więcej niż o 20%.</w:t>
      </w:r>
    </w:p>
    <w:p w:rsidR="006F3CA9" w:rsidRDefault="006F3CA9">
      <w:pPr>
        <w:numPr>
          <w:ilvl w:val="12"/>
          <w:numId w:val="0"/>
        </w:numPr>
      </w:pPr>
      <w:r>
        <w:lastRenderedPageBreak/>
        <w:tab/>
        <w:t>.</w:t>
      </w:r>
    </w:p>
    <w:p w:rsidR="006F3CA9" w:rsidRDefault="006F3CA9">
      <w:pPr>
        <w:pStyle w:val="Nagwek2"/>
        <w:numPr>
          <w:ilvl w:val="12"/>
          <w:numId w:val="0"/>
        </w:numPr>
      </w:pPr>
      <w:r>
        <w:t>4.4. Usuwanie oznakowania poziomego</w:t>
      </w:r>
    </w:p>
    <w:p w:rsidR="006F3CA9" w:rsidRDefault="006F3CA9">
      <w:pPr>
        <w:numPr>
          <w:ilvl w:val="12"/>
          <w:numId w:val="0"/>
        </w:numPr>
      </w:pPr>
      <w:r>
        <w:tab/>
        <w:t>W przypadku konieczności usunięcia istniejącego oznakowania poziomego, czynność tę należy wykonać jak najmniej uszkadzając nawierzchnię.</w:t>
      </w:r>
    </w:p>
    <w:p w:rsidR="006F3CA9" w:rsidRPr="00D2050A" w:rsidRDefault="006F3CA9" w:rsidP="00D2050A">
      <w:pPr>
        <w:numPr>
          <w:ilvl w:val="12"/>
          <w:numId w:val="0"/>
        </w:numPr>
        <w:rPr>
          <w:color w:val="800000"/>
        </w:rPr>
      </w:pPr>
      <w:r>
        <w:tab/>
        <w:t>Zaleca się wykonywać usuwanie oznakowania cienkowarstwowego, metodą: frezowania mechanicznego lub piaskowania.</w:t>
      </w:r>
    </w:p>
    <w:p w:rsidR="006F3CA9" w:rsidRDefault="006F3CA9">
      <w:pPr>
        <w:numPr>
          <w:ilvl w:val="12"/>
          <w:numId w:val="0"/>
        </w:numPr>
      </w:pPr>
      <w:r>
        <w:tab/>
        <w:t>Środki zastosowane do usunięcia oznakowania nie mogą wpływać ujemnie na przyczepność nowego oznakowania do podłoża, na jego szorstkość, trwałość oraz na właściwości podłoża.</w:t>
      </w:r>
    </w:p>
    <w:p w:rsidR="006F3CA9" w:rsidRDefault="006F3CA9" w:rsidP="00F5449D">
      <w:pPr>
        <w:pStyle w:val="Nagwek1"/>
        <w:numPr>
          <w:ilvl w:val="12"/>
          <w:numId w:val="0"/>
        </w:numPr>
      </w:pPr>
      <w:bookmarkStart w:id="10" w:name="_Toc420816685"/>
      <w:r>
        <w:t>5. kontrola jakości robót</w:t>
      </w:r>
      <w:bookmarkEnd w:id="10"/>
    </w:p>
    <w:p w:rsidR="006F3CA9" w:rsidRDefault="006F3CA9">
      <w:pPr>
        <w:pStyle w:val="Nagwek2"/>
        <w:numPr>
          <w:ilvl w:val="12"/>
          <w:numId w:val="0"/>
        </w:numPr>
      </w:pPr>
      <w:r>
        <w:t>5.1. Badanie przygotowania podłoża</w:t>
      </w:r>
    </w:p>
    <w:p w:rsidR="006F3CA9" w:rsidRDefault="006F3CA9">
      <w:pPr>
        <w:numPr>
          <w:ilvl w:val="12"/>
          <w:numId w:val="0"/>
        </w:numPr>
      </w:pPr>
      <w:r>
        <w:tab/>
        <w:t>Powierzchnia jezdni przed wykonaniem znakowania poziomego musi być całkowicie czysta i sucha.</w:t>
      </w:r>
    </w:p>
    <w:p w:rsidR="006F3CA9" w:rsidRPr="004A0445" w:rsidRDefault="006F3CA9" w:rsidP="00A6574F">
      <w:pPr>
        <w:pStyle w:val="Nagwek2"/>
        <w:numPr>
          <w:ilvl w:val="12"/>
          <w:numId w:val="0"/>
        </w:numPr>
        <w:rPr>
          <w:color w:val="800000"/>
        </w:rPr>
      </w:pPr>
      <w:r>
        <w:t xml:space="preserve">5.2. Badania wykonania oznakowania poziomego </w:t>
      </w:r>
    </w:p>
    <w:p w:rsidR="006F3CA9" w:rsidRDefault="006F3CA9" w:rsidP="00A6574F">
      <w:pPr>
        <w:keepNext/>
        <w:numPr>
          <w:ilvl w:val="12"/>
          <w:numId w:val="0"/>
        </w:numPr>
      </w:pPr>
      <w:r>
        <w:rPr>
          <w:b/>
        </w:rPr>
        <w:t xml:space="preserve">5.2.1. </w:t>
      </w:r>
      <w:r>
        <w:t>Wymagania wobec oznakowania poziomego</w:t>
      </w:r>
    </w:p>
    <w:p w:rsidR="006F3CA9" w:rsidRDefault="006F3CA9">
      <w:pPr>
        <w:pStyle w:val="Stopka"/>
        <w:numPr>
          <w:ilvl w:val="12"/>
          <w:numId w:val="0"/>
        </w:numPr>
        <w:tabs>
          <w:tab w:val="clear" w:pos="4536"/>
          <w:tab w:val="clear" w:pos="9072"/>
        </w:tabs>
        <w:spacing w:before="60" w:after="60"/>
        <w:rPr>
          <w:b/>
        </w:rPr>
      </w:pPr>
      <w:r>
        <w:t>5.2.1.1. Zasady</w:t>
      </w:r>
    </w:p>
    <w:p w:rsidR="006F3CA9" w:rsidRDefault="006F3CA9">
      <w:pPr>
        <w:numPr>
          <w:ilvl w:val="12"/>
          <w:numId w:val="0"/>
        </w:numPr>
        <w:ind w:firstLine="709"/>
        <w:rPr>
          <w:spacing w:val="-3"/>
        </w:rPr>
      </w:pPr>
      <w:r>
        <w:rPr>
          <w:spacing w:val="-3"/>
        </w:rPr>
        <w:t xml:space="preserve">Wymagania sprecyzowano przede wszystkim w celu określenia właściwości oznakowania dróg w czasie ich użytkowania. Wymagania określa się kilkoma parametrami reprezentującymi różne aspekty właściwości oznakowania dróg według PN-EN 1436:2000 [4] i PN-EN 1436:2000/A1:2005 [4a]. </w:t>
      </w:r>
    </w:p>
    <w:p w:rsidR="006F3CA9" w:rsidRDefault="006F3CA9" w:rsidP="00625F9B">
      <w:pPr>
        <w:numPr>
          <w:ilvl w:val="12"/>
          <w:numId w:val="0"/>
        </w:numPr>
        <w:ind w:firstLine="709"/>
        <w:rPr>
          <w:spacing w:val="-3"/>
        </w:rPr>
      </w:pPr>
      <w:r>
        <w:rPr>
          <w:spacing w:val="-3"/>
        </w:rPr>
        <w:t xml:space="preserve">Badania wstępne, dla których określono pierwsze wymaganie, są wykonywane w celu kontroli przed odbiorem. Powinny być wykonane w terminie od 14 do 30 dnia po wykonaniu. Kolejne badania kontrolne należy wykonywać po okresie, od 3 do 6 miesięcy po wykonaniu i przed upływem 1 roku. </w:t>
      </w:r>
    </w:p>
    <w:p w:rsidR="006F3CA9" w:rsidRDefault="006F3CA9">
      <w:pPr>
        <w:numPr>
          <w:ilvl w:val="12"/>
          <w:numId w:val="0"/>
        </w:numPr>
        <w:spacing w:before="120"/>
      </w:pPr>
      <w:r>
        <w:t>5.2.1.2. Widzialność w dzień i w nocy</w:t>
      </w:r>
    </w:p>
    <w:p w:rsidR="006F3CA9" w:rsidRDefault="006F3CA9">
      <w:pPr>
        <w:numPr>
          <w:ilvl w:val="0"/>
          <w:numId w:val="1"/>
        </w:numPr>
      </w:pPr>
      <w:r>
        <w:t>Widzialność oznakowania w dzień i w nocy zgodnie z tabel. 1.1 - Załącznik nr 2 do rozporządzenia Ministra Infrastruktury z dnia 3 lipca 2003 r. Szczegółowe warunki techniczne dla znaków drogowych poziomych i warunki ich umieszczania na drogach (Dz. U. nr 220, poz. 2181)</w:t>
      </w:r>
      <w:r>
        <w:rPr>
          <w:spacing w:val="-3"/>
        </w:rPr>
        <w:t xml:space="preserve"> [6]. </w:t>
      </w:r>
      <w:r>
        <w:t xml:space="preserve"> </w:t>
      </w:r>
    </w:p>
    <w:p w:rsidR="006F3CA9" w:rsidRDefault="006F3CA9">
      <w:pPr>
        <w:keepNext/>
        <w:numPr>
          <w:ilvl w:val="12"/>
          <w:numId w:val="0"/>
        </w:numPr>
        <w:spacing w:before="120" w:after="120"/>
      </w:pPr>
      <w:r>
        <w:t>5.2.1.3. Kontrola</w:t>
      </w:r>
    </w:p>
    <w:p w:rsidR="006F3CA9" w:rsidRDefault="006F3CA9">
      <w:pPr>
        <w:numPr>
          <w:ilvl w:val="12"/>
          <w:numId w:val="0"/>
        </w:numPr>
      </w:pPr>
      <w:r>
        <w:tab/>
        <w:t>Do odbioru i w przypadku wątpliwości dotyczących wykonania oznakowania poziomego, Zamawiający może zlecić wykonanie badań:</w:t>
      </w:r>
    </w:p>
    <w:p w:rsidR="006F3CA9" w:rsidRDefault="006F3CA9">
      <w:pPr>
        <w:numPr>
          <w:ilvl w:val="0"/>
          <w:numId w:val="1"/>
        </w:numPr>
      </w:pPr>
      <w:r>
        <w:t>widzialności w nocy,</w:t>
      </w:r>
    </w:p>
    <w:p w:rsidR="006F3CA9" w:rsidRDefault="006F3CA9">
      <w:pPr>
        <w:numPr>
          <w:ilvl w:val="0"/>
          <w:numId w:val="1"/>
        </w:numPr>
      </w:pPr>
      <w:r>
        <w:t>widzialności w dzień,</w:t>
      </w:r>
    </w:p>
    <w:p w:rsidR="006F3CA9" w:rsidRDefault="006F3CA9">
      <w:pPr>
        <w:numPr>
          <w:ilvl w:val="0"/>
          <w:numId w:val="1"/>
        </w:numPr>
      </w:pPr>
      <w:r>
        <w:t>szorstkości,</w:t>
      </w:r>
    </w:p>
    <w:p w:rsidR="006F3CA9" w:rsidRDefault="006F3CA9">
      <w:pPr>
        <w:numPr>
          <w:ilvl w:val="12"/>
          <w:numId w:val="0"/>
        </w:numPr>
      </w:pPr>
      <w:r>
        <w:t>odpowiadających podanym wymaganiom i wykonanych według metod określonych w Warunkach technicznych POD-97 [8] lub POD-2006 (po wydaniu) [9]. Jeżeli wyniki tych badań wykażą wadliwość wykonanego oznakowania to koszt badań ponosi Wykonawca, w przypadku przeciwnym - Zamawiający. Badania powinien zlecać Zamawiający do niezależnego laboratorium badawczego, co gwarantuje większa wiarygodność wyników.</w:t>
      </w:r>
    </w:p>
    <w:p w:rsidR="006F3CA9" w:rsidRDefault="006F3CA9">
      <w:pPr>
        <w:pStyle w:val="Nagwek1"/>
        <w:numPr>
          <w:ilvl w:val="12"/>
          <w:numId w:val="0"/>
        </w:numPr>
      </w:pPr>
      <w:bookmarkStart w:id="11" w:name="_Toc420816686"/>
      <w:r>
        <w:t>6. Obmiar robót</w:t>
      </w:r>
      <w:bookmarkEnd w:id="11"/>
    </w:p>
    <w:p w:rsidR="006F3CA9" w:rsidRDefault="006F3CA9">
      <w:pPr>
        <w:pStyle w:val="Nagwek2"/>
        <w:numPr>
          <w:ilvl w:val="12"/>
          <w:numId w:val="0"/>
        </w:numPr>
      </w:pPr>
      <w:r>
        <w:t>6.1. Jednostka obmiarowa</w:t>
      </w:r>
    </w:p>
    <w:p w:rsidR="006F3CA9" w:rsidRDefault="006F3CA9">
      <w:pPr>
        <w:numPr>
          <w:ilvl w:val="12"/>
          <w:numId w:val="0"/>
        </w:numPr>
        <w:spacing w:after="120"/>
      </w:pPr>
      <w:r>
        <w:tab/>
        <w:t>Jednostką obmiarową oznakowania poziomego jest m</w:t>
      </w:r>
      <w:r>
        <w:rPr>
          <w:vertAlign w:val="superscript"/>
        </w:rPr>
        <w:t>2</w:t>
      </w:r>
      <w:r>
        <w:t xml:space="preserve"> (metr kwadratowy) powierzchni naniesionych oznakowań lub liczba umieszczonych punktowych elementów odblaskowych.</w:t>
      </w:r>
    </w:p>
    <w:p w:rsidR="006F3CA9" w:rsidRDefault="006F3CA9" w:rsidP="00F5449D">
      <w:pPr>
        <w:pStyle w:val="Nagwek1"/>
        <w:numPr>
          <w:ilvl w:val="12"/>
          <w:numId w:val="0"/>
        </w:numPr>
      </w:pPr>
      <w:bookmarkStart w:id="12" w:name="_Toc420816687"/>
      <w:r>
        <w:t>7. odbiór robót</w:t>
      </w:r>
      <w:bookmarkEnd w:id="12"/>
    </w:p>
    <w:p w:rsidR="006F3CA9" w:rsidRDefault="006F3CA9">
      <w:pPr>
        <w:pStyle w:val="Nagwek2"/>
        <w:numPr>
          <w:ilvl w:val="12"/>
          <w:numId w:val="0"/>
        </w:numPr>
      </w:pPr>
      <w:r>
        <w:t>7.1. Odbiór robót zanikających i ulegających zakryciu</w:t>
      </w:r>
    </w:p>
    <w:p w:rsidR="006F3CA9" w:rsidRDefault="006F3CA9">
      <w:pPr>
        <w:numPr>
          <w:ilvl w:val="12"/>
          <w:numId w:val="0"/>
        </w:numPr>
      </w:pPr>
      <w:r>
        <w:tab/>
        <w:t>Odbiór robót zanikających i ulegających zakryciu, w zależności od przyjętego sposobu wykonania robót, może być dokonany po:</w:t>
      </w:r>
    </w:p>
    <w:p w:rsidR="006F3CA9" w:rsidRDefault="006F3CA9">
      <w:pPr>
        <w:numPr>
          <w:ilvl w:val="0"/>
          <w:numId w:val="1"/>
        </w:numPr>
      </w:pPr>
      <w:r>
        <w:t>oczyszczeniu powierzchni nawierzchni,</w:t>
      </w:r>
    </w:p>
    <w:p w:rsidR="006F3CA9" w:rsidRDefault="006F3CA9">
      <w:pPr>
        <w:numPr>
          <w:ilvl w:val="0"/>
          <w:numId w:val="1"/>
        </w:numPr>
      </w:pPr>
      <w:r>
        <w:t>frezowaniu nawierzchni przed wykonaniem znakowania,</w:t>
      </w:r>
    </w:p>
    <w:p w:rsidR="006F3CA9" w:rsidRDefault="006F3CA9">
      <w:pPr>
        <w:numPr>
          <w:ilvl w:val="0"/>
          <w:numId w:val="1"/>
        </w:numPr>
      </w:pPr>
      <w:r>
        <w:t>usunięciu istniejącego oznakowania poziomego,</w:t>
      </w:r>
    </w:p>
    <w:p w:rsidR="006F3CA9" w:rsidRDefault="006F3CA9">
      <w:pPr>
        <w:numPr>
          <w:ilvl w:val="0"/>
          <w:numId w:val="1"/>
        </w:numPr>
      </w:pPr>
      <w:r>
        <w:t>wykonaniu podkładu (primera) na nawierzchni betonowej.</w:t>
      </w:r>
    </w:p>
    <w:p w:rsidR="006F3CA9" w:rsidRDefault="006F3CA9">
      <w:pPr>
        <w:pStyle w:val="Nagwek2"/>
        <w:numPr>
          <w:ilvl w:val="12"/>
          <w:numId w:val="0"/>
        </w:numPr>
      </w:pPr>
      <w:r>
        <w:lastRenderedPageBreak/>
        <w:t>7.2. Odbiór końcowy</w:t>
      </w:r>
    </w:p>
    <w:p w:rsidR="006F3CA9" w:rsidRDefault="006F3CA9">
      <w:pPr>
        <w:numPr>
          <w:ilvl w:val="12"/>
          <w:numId w:val="0"/>
        </w:numPr>
      </w:pPr>
      <w:r>
        <w:tab/>
        <w:t xml:space="preserve">Odbiór końcowy należy dokonać po zakończeniu zakresu robót. </w:t>
      </w:r>
    </w:p>
    <w:p w:rsidR="006F3CA9" w:rsidRDefault="006F3CA9">
      <w:pPr>
        <w:pStyle w:val="Nagwek2"/>
        <w:numPr>
          <w:ilvl w:val="12"/>
          <w:numId w:val="0"/>
        </w:numPr>
      </w:pPr>
      <w:r>
        <w:t xml:space="preserve">7.3. Okres gwarancji </w:t>
      </w:r>
    </w:p>
    <w:p w:rsidR="006F3CA9" w:rsidRPr="00F04FAC" w:rsidRDefault="006F3CA9">
      <w:pPr>
        <w:numPr>
          <w:ilvl w:val="12"/>
          <w:numId w:val="0"/>
        </w:numPr>
      </w:pPr>
      <w:r w:rsidRPr="00F04FAC">
        <w:tab/>
        <w:t xml:space="preserve">Okres gwarancyjny dla oznakowania cienkowarstwowego: 12 miesięcy </w:t>
      </w:r>
    </w:p>
    <w:p w:rsidR="006F3CA9" w:rsidRDefault="006F3CA9">
      <w:pPr>
        <w:pStyle w:val="Nagwek1"/>
        <w:numPr>
          <w:ilvl w:val="12"/>
          <w:numId w:val="0"/>
        </w:numPr>
      </w:pPr>
      <w:bookmarkStart w:id="13" w:name="_Toc420816688"/>
      <w:r>
        <w:t>8. podstawa płatności</w:t>
      </w:r>
      <w:bookmarkEnd w:id="13"/>
    </w:p>
    <w:p w:rsidR="006F3CA9" w:rsidRDefault="006F3CA9">
      <w:pPr>
        <w:pStyle w:val="Nagwek2"/>
        <w:numPr>
          <w:ilvl w:val="12"/>
          <w:numId w:val="0"/>
        </w:numPr>
      </w:pPr>
      <w:r>
        <w:t>8.1. Cena jednostki obmiarowej</w:t>
      </w:r>
    </w:p>
    <w:p w:rsidR="006F3CA9" w:rsidRDefault="006F3CA9">
      <w:pPr>
        <w:numPr>
          <w:ilvl w:val="12"/>
          <w:numId w:val="0"/>
        </w:numPr>
      </w:pPr>
      <w:r>
        <w:tab/>
        <w:t xml:space="preserve">Cena </w:t>
      </w:r>
      <w:smartTag w:uri="urn:schemas-microsoft-com:office:smarttags" w:element="metricconverter">
        <w:smartTagPr>
          <w:attr w:name="ProductID" w:val="1 m2"/>
        </w:smartTagPr>
        <w:r>
          <w:t>1 m</w:t>
        </w:r>
        <w:r>
          <w:rPr>
            <w:vertAlign w:val="superscript"/>
          </w:rPr>
          <w:t>2</w:t>
        </w:r>
      </w:smartTag>
      <w:r>
        <w:t xml:space="preserve"> wykonania robót obejmuje:</w:t>
      </w:r>
    </w:p>
    <w:p w:rsidR="006F3CA9" w:rsidRDefault="006F3CA9">
      <w:pPr>
        <w:numPr>
          <w:ilvl w:val="0"/>
          <w:numId w:val="1"/>
        </w:numPr>
      </w:pPr>
      <w:r>
        <w:t>prace pomiarowe, roboty przygotowawcze i oznakowanie robót,</w:t>
      </w:r>
    </w:p>
    <w:p w:rsidR="006F3CA9" w:rsidRDefault="006F3CA9">
      <w:pPr>
        <w:numPr>
          <w:ilvl w:val="0"/>
          <w:numId w:val="1"/>
        </w:numPr>
      </w:pPr>
      <w:r>
        <w:t>przygotowanie i dostarczenie materiałów,</w:t>
      </w:r>
    </w:p>
    <w:p w:rsidR="006F3CA9" w:rsidRDefault="006F3CA9">
      <w:pPr>
        <w:numPr>
          <w:ilvl w:val="0"/>
          <w:numId w:val="1"/>
        </w:numPr>
      </w:pPr>
      <w:r>
        <w:t>oczyszczenie podłoża (nawierzchni),</w:t>
      </w:r>
    </w:p>
    <w:p w:rsidR="006F3CA9" w:rsidRDefault="006F3CA9">
      <w:pPr>
        <w:numPr>
          <w:ilvl w:val="0"/>
          <w:numId w:val="1"/>
        </w:numPr>
      </w:pPr>
      <w:r>
        <w:t>ewentualne przedznakowanie,</w:t>
      </w:r>
    </w:p>
    <w:p w:rsidR="006F3CA9" w:rsidRDefault="006F3CA9">
      <w:pPr>
        <w:numPr>
          <w:ilvl w:val="0"/>
          <w:numId w:val="1"/>
        </w:numPr>
      </w:pPr>
      <w:r>
        <w:t>naniesienie powłoki znaków na nawierzchnię drogi o kształtach i wymiarach zgodnych z dokumentacją projektową i załącznikiem nr 2 do rozporządzenia Ministra Infrastruktury [6],</w:t>
      </w:r>
    </w:p>
    <w:p w:rsidR="006F3CA9" w:rsidRDefault="006F3CA9">
      <w:pPr>
        <w:numPr>
          <w:ilvl w:val="0"/>
          <w:numId w:val="1"/>
        </w:numPr>
      </w:pPr>
      <w:r>
        <w:t>ochrona znaków przed zniszczeniem przez pojazdy w czasie prowadzenia robót,</w:t>
      </w:r>
    </w:p>
    <w:p w:rsidR="006F3CA9" w:rsidRDefault="006F3CA9">
      <w:pPr>
        <w:pStyle w:val="Nagwek1"/>
      </w:pPr>
      <w:bookmarkStart w:id="14" w:name="_Toc420816689"/>
      <w:r>
        <w:t>9. przepisy  związane</w:t>
      </w:r>
      <w:bookmarkEnd w:id="14"/>
    </w:p>
    <w:p w:rsidR="006F3CA9" w:rsidRPr="00830FFE" w:rsidRDefault="006F3CA9">
      <w:pPr>
        <w:pStyle w:val="Nagwek2"/>
        <w:rPr>
          <w:color w:val="800000"/>
        </w:rPr>
      </w:pPr>
      <w:r>
        <w:t xml:space="preserve">9.1. Normy 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842"/>
        <w:gridCol w:w="6663"/>
        <w:gridCol w:w="141"/>
        <w:gridCol w:w="851"/>
      </w:tblGrid>
      <w:tr w:rsidR="006F3CA9" w:rsidTr="00625F9B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 w:rsidP="00A10982">
            <w:pPr>
              <w:jc w:val="right"/>
            </w:pPr>
            <w:r>
              <w:t>1.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>
            <w:r>
              <w:t>PN-89/C-81400</w:t>
            </w:r>
          </w:p>
        </w:tc>
        <w:tc>
          <w:tcPr>
            <w:tcW w:w="76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>
            <w:r>
              <w:t>Wyroby lakierowe. Pakowanie, przechowywanie i transport</w:t>
            </w:r>
          </w:p>
        </w:tc>
      </w:tr>
      <w:tr w:rsidR="006F3CA9" w:rsidTr="00625F9B">
        <w:trPr>
          <w:gridAfter w:val="2"/>
          <w:wAfter w:w="992" w:type="dxa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 w:rsidP="00A10982">
            <w:pPr>
              <w:jc w:val="right"/>
            </w:pPr>
            <w:r>
              <w:t>2.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>
            <w:r>
              <w:t>PN-85/O-79252</w:t>
            </w: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>
            <w:r>
              <w:t>Opakowania transportowe z zawartością. Znaki i znakowanie. Wymagania podstawowe</w:t>
            </w:r>
          </w:p>
        </w:tc>
      </w:tr>
      <w:tr w:rsidR="006F3CA9" w:rsidTr="00625F9B">
        <w:trPr>
          <w:gridAfter w:val="2"/>
          <w:wAfter w:w="992" w:type="dxa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 w:rsidP="00A10982">
            <w:pPr>
              <w:jc w:val="right"/>
              <w:rPr>
                <w:lang w:val="de-DE"/>
              </w:rPr>
            </w:pPr>
            <w:r>
              <w:rPr>
                <w:lang w:val="de-DE"/>
              </w:rPr>
              <w:t>3.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/>
                <w:sz w:val="20"/>
                <w:lang w:val="de-DE"/>
              </w:rPr>
            </w:pPr>
            <w:r>
              <w:rPr>
                <w:rFonts w:ascii="Times New Roman" w:hAnsi="Times New Roman"/>
                <w:sz w:val="20"/>
                <w:lang w:val="de-DE"/>
              </w:rPr>
              <w:t>PN-EN 1423:2000</w:t>
            </w:r>
          </w:p>
          <w:p w:rsidR="006F3CA9" w:rsidRDefault="006F3CA9">
            <w:pPr>
              <w:rPr>
                <w:lang w:val="de-DE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>
            <w:pPr>
              <w:pStyle w:val="Tekstprzypisudolnego"/>
            </w:pPr>
            <w:r>
              <w:t>Materiały do poziomego oznakowania dróg Materiały do posypywania. Kulki szklane, kruszywo przeciwpoślizgowe i ich mieszaniny)</w:t>
            </w:r>
          </w:p>
        </w:tc>
      </w:tr>
      <w:tr w:rsidR="006F3CA9" w:rsidTr="00625F9B">
        <w:trPr>
          <w:gridAfter w:val="2"/>
          <w:wAfter w:w="992" w:type="dxa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 w:rsidP="00A10982">
            <w:pPr>
              <w:jc w:val="right"/>
              <w:rPr>
                <w:lang w:val="de-DE"/>
              </w:rPr>
            </w:pPr>
            <w:r>
              <w:rPr>
                <w:lang w:val="de-DE"/>
              </w:rPr>
              <w:t>3a.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>
            <w:pPr>
              <w:rPr>
                <w:lang w:val="de-DE"/>
              </w:rPr>
            </w:pPr>
            <w:r>
              <w:rPr>
                <w:lang w:val="de-DE"/>
              </w:rPr>
              <w:t>PN-EN 1423:2001/A1:2005</w:t>
            </w: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>
            <w:r>
              <w:t>Materiały do poziomego oznakowania dróg Materiały do posypywania. Kulki szklane, kruszywo przeciwpoślizgowe i ich mieszaniny (Zmiana A1)</w:t>
            </w:r>
          </w:p>
        </w:tc>
      </w:tr>
      <w:tr w:rsidR="006F3CA9" w:rsidTr="00625F9B">
        <w:trPr>
          <w:gridAfter w:val="2"/>
          <w:wAfter w:w="992" w:type="dxa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 w:rsidP="00A10982">
            <w:pPr>
              <w:jc w:val="right"/>
              <w:rPr>
                <w:lang w:val="de-DE"/>
              </w:rPr>
            </w:pPr>
            <w:r>
              <w:rPr>
                <w:lang w:val="de-DE"/>
              </w:rPr>
              <w:t>4.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>
            <w:pPr>
              <w:rPr>
                <w:lang w:val="de-DE"/>
              </w:rPr>
            </w:pPr>
            <w:r>
              <w:rPr>
                <w:lang w:val="de-DE"/>
              </w:rPr>
              <w:t>PN-EN 1436:2000</w:t>
            </w:r>
          </w:p>
          <w:p w:rsidR="006F3CA9" w:rsidRDefault="006F3CA9">
            <w:pPr>
              <w:rPr>
                <w:lang w:val="de-DE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>
            <w:r>
              <w:t>Materiały do poziomego oznakowania dróg. Wymagania dotyczące poziomego oznakowania dróg</w:t>
            </w:r>
          </w:p>
        </w:tc>
      </w:tr>
      <w:tr w:rsidR="006F3CA9" w:rsidTr="00625F9B">
        <w:trPr>
          <w:gridAfter w:val="2"/>
          <w:wAfter w:w="992" w:type="dxa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 w:rsidP="00A10982">
            <w:pPr>
              <w:jc w:val="right"/>
              <w:rPr>
                <w:lang w:val="de-DE"/>
              </w:rPr>
            </w:pPr>
            <w:r>
              <w:rPr>
                <w:lang w:val="de-DE"/>
              </w:rPr>
              <w:t>4a.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>
            <w:pPr>
              <w:rPr>
                <w:lang w:val="de-DE"/>
              </w:rPr>
            </w:pPr>
            <w:r>
              <w:rPr>
                <w:lang w:val="de-DE"/>
              </w:rPr>
              <w:t>PN-EN 1436:2000/A1:2005</w:t>
            </w: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>
            <w:r>
              <w:t>Materiały do poziomego oznakowania dróg. Wymagania dotyczące poziomego oznakowania dróg (Zmiana A1)</w:t>
            </w:r>
          </w:p>
        </w:tc>
      </w:tr>
      <w:tr w:rsidR="006F3CA9" w:rsidTr="00625F9B">
        <w:trPr>
          <w:gridAfter w:val="1"/>
          <w:wAfter w:w="851" w:type="dxa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 w:rsidP="00A10982">
            <w:pPr>
              <w:jc w:val="right"/>
            </w:pPr>
            <w:r>
              <w:t>5.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PN-EN 1871:2003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>
            <w:pPr>
              <w:pStyle w:val="Tekstprzypisudolnego"/>
            </w:pPr>
            <w:r>
              <w:t>Materiały do poziomego oznakowania dróg. Właściwości fizyczne</w:t>
            </w:r>
          </w:p>
        </w:tc>
      </w:tr>
      <w:tr w:rsidR="006F3CA9" w:rsidTr="00625F9B">
        <w:trPr>
          <w:gridAfter w:val="1"/>
          <w:wAfter w:w="851" w:type="dxa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 w:rsidP="00A10982">
            <w:pPr>
              <w:jc w:val="right"/>
            </w:pPr>
            <w:r>
              <w:t>5a.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/>
                <w:sz w:val="20"/>
                <w:lang w:val="de-DE"/>
              </w:rPr>
            </w:pPr>
            <w:r>
              <w:rPr>
                <w:rFonts w:ascii="Times New Roman" w:hAnsi="Times New Roman"/>
                <w:sz w:val="20"/>
                <w:lang w:val="de-DE"/>
              </w:rPr>
              <w:t>PN-EN 13036-4: 2004(U)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3CA9" w:rsidRDefault="006F3CA9">
            <w:pPr>
              <w:pStyle w:val="Tekstprzypisudolnego"/>
            </w:pPr>
            <w:r>
              <w:t>Drogi samochodowe i lotniskowe – Metody badań – Część 4: Metoda pomiaru oporów poślizgu/poślizgnięcia na powierzchni: próba wahadła</w:t>
            </w:r>
          </w:p>
        </w:tc>
      </w:tr>
    </w:tbl>
    <w:p w:rsidR="006F3CA9" w:rsidRDefault="006F3CA9">
      <w:pPr>
        <w:pStyle w:val="Nagwek2"/>
        <w:spacing w:before="240"/>
      </w:pPr>
      <w:r>
        <w:rPr>
          <w:lang w:val="de-DE"/>
        </w:rPr>
        <w:t xml:space="preserve">9.2. </w:t>
      </w:r>
      <w:r>
        <w:t>Przepisy związane i inne dokumenty</w:t>
      </w:r>
    </w:p>
    <w:p w:rsidR="006F3CA9" w:rsidRDefault="006F3CA9" w:rsidP="00F04FAC">
      <w:pPr>
        <w:ind w:left="400" w:hanging="400"/>
      </w:pPr>
      <w:r>
        <w:t xml:space="preserve">   6. Załącznik nr 2 do rozporządzenia Ministra Infrastruktury z dnia 3 li</w:t>
      </w:r>
      <w:r w:rsidR="00625F9B">
        <w:t xml:space="preserve">pca 2003 r. Szczegółowe warunki </w:t>
      </w:r>
      <w:r>
        <w:t>techniczne dla znaków drogowych poziomych i warunki ich umieszczania na drogach (Dz. U. nr 220, poz. 2181)</w:t>
      </w:r>
    </w:p>
    <w:p w:rsidR="006F3CA9" w:rsidRDefault="006F3CA9" w:rsidP="00C63CBF">
      <w:pPr>
        <w:numPr>
          <w:ilvl w:val="0"/>
          <w:numId w:val="10"/>
        </w:numPr>
        <w:tabs>
          <w:tab w:val="clear" w:pos="0"/>
          <w:tab w:val="num" w:pos="-2835"/>
        </w:tabs>
        <w:ind w:left="426" w:hanging="138"/>
      </w:pPr>
      <w:r>
        <w:t>Rozporządzenie  Ministra  Infrastruktury   z  dnia  11 sierpnia 2004 r.  w  sprawie  sposobów deklarowania zgodności wyrobów budowlanych oraz sposobu znakowania ich  znakiem budowlanym (Dz. U. nr 198, poz. 2041)</w:t>
      </w:r>
    </w:p>
    <w:p w:rsidR="006F3CA9" w:rsidRDefault="006F3CA9" w:rsidP="00C63CBF">
      <w:pPr>
        <w:numPr>
          <w:ilvl w:val="0"/>
          <w:numId w:val="10"/>
        </w:numPr>
        <w:tabs>
          <w:tab w:val="clear" w:pos="0"/>
          <w:tab w:val="num" w:pos="-2835"/>
        </w:tabs>
        <w:ind w:left="426" w:hanging="138"/>
      </w:pPr>
      <w:r>
        <w:t>Warunki Techniczne. Poziome znakowanie dróg. POD-97. Seria „I” - Informacje, Instrukcje. Zeszyt nr 55. IBDiM, Warszawa, 1997</w:t>
      </w:r>
    </w:p>
    <w:p w:rsidR="006F3CA9" w:rsidRDefault="006F3CA9" w:rsidP="00C63CBF">
      <w:pPr>
        <w:numPr>
          <w:ilvl w:val="0"/>
          <w:numId w:val="10"/>
        </w:numPr>
        <w:tabs>
          <w:tab w:val="clear" w:pos="0"/>
          <w:tab w:val="num" w:pos="-2835"/>
        </w:tabs>
        <w:ind w:left="426" w:hanging="138"/>
      </w:pPr>
      <w:r>
        <w:t>Warunki Techniczne. Poziome znakowanie dróg. POD-2006. Seria „I” - Informacje, Instrukcje. IBDiM, Warszawa, w opracowaniu</w:t>
      </w:r>
    </w:p>
    <w:p w:rsidR="006F3CA9" w:rsidRDefault="006F3CA9" w:rsidP="00C63CBF">
      <w:pPr>
        <w:numPr>
          <w:ilvl w:val="0"/>
          <w:numId w:val="10"/>
        </w:numPr>
        <w:tabs>
          <w:tab w:val="clear" w:pos="0"/>
          <w:tab w:val="num" w:pos="-2835"/>
        </w:tabs>
        <w:ind w:left="426" w:hanging="138"/>
      </w:pPr>
      <w:r>
        <w:t>Prawo przewozowe (Dz. U. nr 53 z 1984 r., poz. 272 z późniejszymi zmianami)</w:t>
      </w:r>
    </w:p>
    <w:p w:rsidR="006F3CA9" w:rsidRDefault="006F3CA9" w:rsidP="00C63CBF">
      <w:pPr>
        <w:numPr>
          <w:ilvl w:val="0"/>
          <w:numId w:val="10"/>
        </w:numPr>
        <w:tabs>
          <w:tab w:val="clear" w:pos="0"/>
          <w:tab w:val="num" w:pos="-2835"/>
        </w:tabs>
        <w:ind w:left="426" w:hanging="138"/>
      </w:pPr>
      <w:r>
        <w:t>Rozporządzenie Ministra Infrastruktury z dnia 11 sierpnia 2004 r. w sprawie systemów oceny zgodności, wymagań jakie powinny spełniać notyfikowane jednostki uczestniczące w ocenie zgodności oraz sposobu oznaczania wyrobów budowlanych oznakowaniem CE (Dz. U. nr 195, poz. 2011)</w:t>
      </w:r>
    </w:p>
    <w:p w:rsidR="006F3CA9" w:rsidRDefault="006F3CA9" w:rsidP="00C63CBF">
      <w:pPr>
        <w:numPr>
          <w:ilvl w:val="0"/>
          <w:numId w:val="10"/>
        </w:numPr>
        <w:tabs>
          <w:tab w:val="clear" w:pos="0"/>
          <w:tab w:val="num" w:pos="-2835"/>
        </w:tabs>
        <w:ind w:left="426" w:hanging="138"/>
      </w:pPr>
      <w:r>
        <w:t>Rozporządzenie Ministra Zdrowia z dnia 2 września 2003 r. w sprawie oznakowania opakowań substancji niebezpiecznych i preparatów niebezpiecznych (Dz. U. nr 73, poz. 1679)</w:t>
      </w:r>
    </w:p>
    <w:p w:rsidR="006F3CA9" w:rsidRDefault="006F3CA9" w:rsidP="00C63CBF">
      <w:pPr>
        <w:numPr>
          <w:ilvl w:val="0"/>
          <w:numId w:val="10"/>
        </w:numPr>
        <w:tabs>
          <w:tab w:val="clear" w:pos="0"/>
          <w:tab w:val="num" w:pos="-2835"/>
        </w:tabs>
        <w:ind w:left="426" w:hanging="138"/>
      </w:pPr>
      <w:r>
        <w:t>Umowa europejska dotycząca międzynarodowego przewozu towarów niebezpiecznych (RID/ADR)</w:t>
      </w:r>
    </w:p>
    <w:p w:rsidR="006F3CA9" w:rsidRDefault="006F3CA9" w:rsidP="00625F9B">
      <w:pPr>
        <w:numPr>
          <w:ilvl w:val="0"/>
          <w:numId w:val="10"/>
        </w:numPr>
        <w:tabs>
          <w:tab w:val="clear" w:pos="0"/>
          <w:tab w:val="num" w:pos="-2835"/>
        </w:tabs>
        <w:ind w:left="426" w:hanging="138"/>
      </w:pPr>
      <w:r>
        <w:t>Rozporządzenie Ministra Infrastruktury z dnia 8 listopada 2004 r. w sprawie aprobat technicznych oraz jednostek organizacyjnych uprawnionych do ich wydania (Dz.U. nr 249, poz. 2497)</w:t>
      </w:r>
      <w:bookmarkStart w:id="15" w:name="_GoBack"/>
      <w:bookmarkEnd w:id="15"/>
    </w:p>
    <w:sectPr w:rsidR="006F3CA9" w:rsidSect="00837B82">
      <w:headerReference w:type="even" r:id="rId7"/>
      <w:headerReference w:type="default" r:id="rId8"/>
      <w:footerReference w:type="default" r:id="rId9"/>
      <w:pgSz w:w="11907" w:h="16840" w:code="9"/>
      <w:pgMar w:top="1021" w:right="1418" w:bottom="907" w:left="1418" w:header="1134" w:footer="113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CA9" w:rsidRDefault="006F3CA9">
      <w:r>
        <w:separator/>
      </w:r>
    </w:p>
  </w:endnote>
  <w:endnote w:type="continuationSeparator" w:id="0">
    <w:p w:rsidR="006F3CA9" w:rsidRDefault="006F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F9B" w:rsidRDefault="00625F9B" w:rsidP="00625F9B">
    <w:pPr>
      <w:pStyle w:val="Stopka"/>
      <w:jc w:val="right"/>
    </w:pPr>
  </w:p>
  <w:p w:rsidR="00625F9B" w:rsidRDefault="00625F9B" w:rsidP="00625F9B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  <w:noProof/>
      </w:rPr>
      <w:t>5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  <w:noProof/>
      </w:rPr>
      <w:t>5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CA9" w:rsidRDefault="006F3CA9">
      <w:r>
        <w:separator/>
      </w:r>
    </w:p>
  </w:footnote>
  <w:footnote w:type="continuationSeparator" w:id="0">
    <w:p w:rsidR="006F3CA9" w:rsidRDefault="006F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CA9" w:rsidRDefault="006F3CA9">
    <w:pPr>
      <w:pStyle w:val="Nagwek"/>
      <w:rPr>
        <w:rFonts w:ascii="Times New Roman" w:hAnsi="Times New Roman"/>
        <w:sz w:val="19"/>
      </w:rPr>
    </w:pPr>
  </w:p>
  <w:tbl>
    <w:tblPr>
      <w:tblW w:w="0" w:type="auto"/>
      <w:tblBorders>
        <w:bottom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51"/>
      <w:gridCol w:w="4819"/>
      <w:gridCol w:w="1769"/>
    </w:tblGrid>
    <w:tr w:rsidR="006F3CA9">
      <w:tc>
        <w:tcPr>
          <w:tcW w:w="921" w:type="dxa"/>
          <w:tcBorders>
            <w:top w:val="nil"/>
            <w:left w:val="nil"/>
            <w:bottom w:val="single" w:sz="6" w:space="0" w:color="auto"/>
            <w:right w:val="nil"/>
          </w:tcBorders>
        </w:tcPr>
        <w:p w:rsidR="006F3CA9" w:rsidRDefault="006F3CA9">
          <w:pPr>
            <w:pStyle w:val="Nagwek"/>
            <w:spacing w:after="120"/>
            <w:rPr>
              <w:rFonts w:ascii="Times New Roman" w:hAnsi="Times New Roman"/>
              <w:sz w:val="19"/>
            </w:rPr>
          </w:pPr>
          <w:r>
            <w:rPr>
              <w:rStyle w:val="Numerstrony"/>
              <w:rFonts w:ascii="Times New Roman" w:hAnsi="Times New Roman"/>
              <w:sz w:val="19"/>
            </w:rPr>
            <w:fldChar w:fldCharType="begin"/>
          </w:r>
          <w:r>
            <w:rPr>
              <w:rStyle w:val="Numerstrony"/>
              <w:rFonts w:ascii="Times New Roman" w:hAnsi="Times New Roman"/>
              <w:sz w:val="19"/>
            </w:rPr>
            <w:instrText xml:space="preserve"> PAGE </w:instrText>
          </w:r>
          <w:r>
            <w:rPr>
              <w:rStyle w:val="Numerstrony"/>
              <w:rFonts w:ascii="Times New Roman" w:hAnsi="Times New Roman"/>
              <w:sz w:val="19"/>
            </w:rPr>
            <w:fldChar w:fldCharType="separate"/>
          </w:r>
          <w:r>
            <w:rPr>
              <w:rStyle w:val="Numerstrony"/>
              <w:rFonts w:ascii="Times New Roman" w:hAnsi="Times New Roman"/>
              <w:noProof/>
              <w:sz w:val="19"/>
            </w:rPr>
            <w:t>26</w:t>
          </w:r>
          <w:r>
            <w:rPr>
              <w:rStyle w:val="Numerstrony"/>
              <w:rFonts w:ascii="Times New Roman" w:hAnsi="Times New Roman"/>
              <w:sz w:val="19"/>
            </w:rPr>
            <w:fldChar w:fldCharType="end"/>
          </w:r>
        </w:p>
      </w:tc>
      <w:tc>
        <w:tcPr>
          <w:tcW w:w="4819" w:type="dxa"/>
          <w:tcBorders>
            <w:top w:val="nil"/>
            <w:left w:val="nil"/>
            <w:bottom w:val="single" w:sz="6" w:space="0" w:color="auto"/>
            <w:right w:val="nil"/>
          </w:tcBorders>
        </w:tcPr>
        <w:p w:rsidR="006F3CA9" w:rsidRDefault="006F3CA9">
          <w:pPr>
            <w:pStyle w:val="Nagwek"/>
            <w:jc w:val="right"/>
            <w:rPr>
              <w:rFonts w:ascii="Times New Roman" w:hAnsi="Times New Roman"/>
              <w:sz w:val="19"/>
            </w:rPr>
          </w:pPr>
          <w:r>
            <w:rPr>
              <w:rFonts w:ascii="Times New Roman" w:hAnsi="Times New Roman"/>
              <w:i/>
              <w:sz w:val="19"/>
            </w:rPr>
            <w:t>Oznakowanie poziome</w:t>
          </w:r>
        </w:p>
      </w:tc>
      <w:tc>
        <w:tcPr>
          <w:tcW w:w="1769" w:type="dxa"/>
          <w:tcBorders>
            <w:top w:val="nil"/>
            <w:left w:val="nil"/>
            <w:bottom w:val="single" w:sz="6" w:space="0" w:color="auto"/>
            <w:right w:val="nil"/>
          </w:tcBorders>
        </w:tcPr>
        <w:p w:rsidR="006F3CA9" w:rsidRDefault="006F3CA9">
          <w:pPr>
            <w:pStyle w:val="Nagwek"/>
            <w:jc w:val="right"/>
            <w:rPr>
              <w:rFonts w:ascii="Times New Roman" w:hAnsi="Times New Roman"/>
              <w:sz w:val="19"/>
            </w:rPr>
          </w:pPr>
          <w:r>
            <w:rPr>
              <w:rFonts w:ascii="Times New Roman" w:hAnsi="Times New Roman"/>
              <w:i/>
              <w:sz w:val="19"/>
            </w:rPr>
            <w:t>D-07.01.01</w:t>
          </w:r>
        </w:p>
      </w:tc>
    </w:tr>
  </w:tbl>
  <w:p w:rsidR="006F3CA9" w:rsidRDefault="006F3CA9">
    <w:pPr>
      <w:pStyle w:val="Nagwek"/>
      <w:rPr>
        <w:rFonts w:ascii="Times New Roman" w:hAnsi="Times New Roman"/>
        <w:sz w:val="19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F9B" w:rsidRPr="00412872" w:rsidRDefault="00625F9B" w:rsidP="00625F9B">
    <w:pPr>
      <w:pStyle w:val="Tytu"/>
      <w:rPr>
        <w:i/>
        <w:color w:val="000000"/>
        <w:sz w:val="22"/>
        <w:szCs w:val="22"/>
      </w:rPr>
    </w:pPr>
    <w:r w:rsidRPr="00412872">
      <w:rPr>
        <w:i/>
        <w:sz w:val="22"/>
        <w:szCs w:val="22"/>
      </w:rPr>
      <w:t>Z</w:t>
    </w:r>
    <w:r>
      <w:rPr>
        <w:i/>
        <w:sz w:val="22"/>
        <w:szCs w:val="22"/>
      </w:rPr>
      <w:t>ałącznik nr 3</w:t>
    </w:r>
    <w:r w:rsidRPr="00412872">
      <w:rPr>
        <w:i/>
        <w:sz w:val="22"/>
        <w:szCs w:val="22"/>
      </w:rPr>
      <w:t xml:space="preserve"> do Zapytania ofertowego </w:t>
    </w:r>
    <w:r w:rsidRPr="00412872">
      <w:rPr>
        <w:i/>
        <w:color w:val="000000"/>
        <w:sz w:val="22"/>
        <w:szCs w:val="22"/>
      </w:rPr>
      <w:t>RGKiM.271.9.2018.AM z dnia 21.03.2018r.</w:t>
    </w:r>
  </w:p>
  <w:p w:rsidR="00625F9B" w:rsidRPr="00625F9B" w:rsidRDefault="00625F9B" w:rsidP="00625F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5E60E522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A848DF"/>
    <w:multiLevelType w:val="multilevel"/>
    <w:tmpl w:val="2C3C5958"/>
    <w:lvl w:ilvl="0">
      <w:start w:val="1"/>
      <w:numFmt w:val="decimal"/>
      <w:lvlText w:val="%1."/>
      <w:lvlJc w:val="left"/>
      <w:pPr>
        <w:tabs>
          <w:tab w:val="num" w:pos="417"/>
        </w:tabs>
        <w:ind w:left="5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85E3460"/>
    <w:multiLevelType w:val="singleLevel"/>
    <w:tmpl w:val="12FCC392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3" w15:restartNumberingAfterBreak="0">
    <w:nsid w:val="17153F2F"/>
    <w:multiLevelType w:val="hybridMultilevel"/>
    <w:tmpl w:val="37400880"/>
    <w:lvl w:ilvl="0" w:tplc="4D62364C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64D41"/>
    <w:multiLevelType w:val="singleLevel"/>
    <w:tmpl w:val="376E012C"/>
    <w:lvl w:ilvl="0">
      <w:start w:val="1"/>
      <w:numFmt w:val="decimal"/>
      <w:lvlText w:val="%1"/>
      <w:legacy w:legacy="1" w:legacySpace="120" w:legacyIndent="360"/>
      <w:lvlJc w:val="left"/>
      <w:rPr>
        <w:rFonts w:cs="Times New Roman"/>
      </w:rPr>
    </w:lvl>
  </w:abstractNum>
  <w:abstractNum w:abstractNumId="5" w15:restartNumberingAfterBreak="0">
    <w:nsid w:val="1B4136AB"/>
    <w:multiLevelType w:val="singleLevel"/>
    <w:tmpl w:val="12FCC392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6" w15:restartNumberingAfterBreak="0">
    <w:nsid w:val="1D1F699F"/>
    <w:multiLevelType w:val="hybridMultilevel"/>
    <w:tmpl w:val="B880971A"/>
    <w:lvl w:ilvl="0" w:tplc="376E012C">
      <w:start w:val="1"/>
      <w:numFmt w:val="decimal"/>
      <w:lvlText w:val="%1"/>
      <w:legacy w:legacy="1" w:legacySpace="120" w:legacyIndent="360"/>
      <w:lvlJc w:val="left"/>
      <w:rPr>
        <w:rFonts w:cs="Times New Roman"/>
      </w:rPr>
    </w:lvl>
    <w:lvl w:ilvl="1" w:tplc="4D62364C">
      <w:start w:val="1"/>
      <w:numFmt w:val="bullet"/>
      <w:lvlText w:val=""/>
      <w:legacy w:legacy="1" w:legacySpace="0" w:legacyIndent="283"/>
      <w:lvlJc w:val="left"/>
      <w:pPr>
        <w:ind w:left="1363" w:hanging="283"/>
      </w:pPr>
      <w:rPr>
        <w:rFonts w:ascii="Symbol" w:hAnsi="Symbol" w:hint="default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ED5792E"/>
    <w:multiLevelType w:val="hybridMultilevel"/>
    <w:tmpl w:val="6622A256"/>
    <w:lvl w:ilvl="0" w:tplc="4D62364C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068C"/>
    <w:multiLevelType w:val="hybridMultilevel"/>
    <w:tmpl w:val="C67061AA"/>
    <w:lvl w:ilvl="0" w:tplc="4D62364C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190A48"/>
    <w:multiLevelType w:val="singleLevel"/>
    <w:tmpl w:val="43102DDE"/>
    <w:lvl w:ilvl="0">
      <w:start w:val="7"/>
      <w:numFmt w:val="decimal"/>
      <w:lvlText w:val="%1."/>
      <w:lvlJc w:val="right"/>
      <w:pPr>
        <w:tabs>
          <w:tab w:val="num" w:pos="0"/>
        </w:tabs>
        <w:ind w:left="360" w:hanging="72"/>
      </w:pPr>
      <w:rPr>
        <w:rFonts w:cs="Times New Roman" w:hint="default"/>
      </w:rPr>
    </w:lvl>
  </w:abstractNum>
  <w:abstractNum w:abstractNumId="10" w15:restartNumberingAfterBreak="0">
    <w:nsid w:val="348A4474"/>
    <w:multiLevelType w:val="hybridMultilevel"/>
    <w:tmpl w:val="90603B60"/>
    <w:lvl w:ilvl="0" w:tplc="4D62364C">
      <w:start w:val="1"/>
      <w:numFmt w:val="bullet"/>
      <w:lvlText w:val=""/>
      <w:legacy w:legacy="1" w:legacySpace="0" w:legacyIndent="283"/>
      <w:lvlJc w:val="left"/>
      <w:pPr>
        <w:ind w:left="1363" w:hanging="283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52334CF"/>
    <w:multiLevelType w:val="singleLevel"/>
    <w:tmpl w:val="376E012C"/>
    <w:lvl w:ilvl="0">
      <w:start w:val="1"/>
      <w:numFmt w:val="decimal"/>
      <w:lvlText w:val="%1"/>
      <w:legacy w:legacy="1" w:legacySpace="120" w:legacyIndent="360"/>
      <w:lvlJc w:val="left"/>
      <w:rPr>
        <w:rFonts w:cs="Times New Roman"/>
      </w:rPr>
    </w:lvl>
  </w:abstractNum>
  <w:abstractNum w:abstractNumId="12" w15:restartNumberingAfterBreak="0">
    <w:nsid w:val="369247C3"/>
    <w:multiLevelType w:val="singleLevel"/>
    <w:tmpl w:val="376E012C"/>
    <w:lvl w:ilvl="0">
      <w:start w:val="1"/>
      <w:numFmt w:val="decimal"/>
      <w:lvlText w:val="%1"/>
      <w:legacy w:legacy="1" w:legacySpace="120" w:legacyIndent="360"/>
      <w:lvlJc w:val="left"/>
      <w:rPr>
        <w:rFonts w:cs="Times New Roman"/>
      </w:rPr>
    </w:lvl>
  </w:abstractNum>
  <w:abstractNum w:abstractNumId="13" w15:restartNumberingAfterBreak="0">
    <w:nsid w:val="3AAD2DC6"/>
    <w:multiLevelType w:val="hybridMultilevel"/>
    <w:tmpl w:val="674C6D54"/>
    <w:lvl w:ilvl="0" w:tplc="4D62364C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166F57"/>
    <w:multiLevelType w:val="hybridMultilevel"/>
    <w:tmpl w:val="47AC0926"/>
    <w:lvl w:ilvl="0" w:tplc="4D62364C">
      <w:start w:val="1"/>
      <w:numFmt w:val="bullet"/>
      <w:lvlText w:val=""/>
      <w:legacy w:legacy="1" w:legacySpace="0" w:legacyIndent="283"/>
      <w:lvlJc w:val="left"/>
      <w:pPr>
        <w:ind w:left="1363" w:hanging="283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A861169"/>
    <w:multiLevelType w:val="hybridMultilevel"/>
    <w:tmpl w:val="11D43898"/>
    <w:lvl w:ilvl="0" w:tplc="4D62364C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373146"/>
    <w:multiLevelType w:val="hybridMultilevel"/>
    <w:tmpl w:val="2C3C5958"/>
    <w:lvl w:ilvl="0" w:tplc="E63E63E4">
      <w:start w:val="1"/>
      <w:numFmt w:val="decimal"/>
      <w:lvlText w:val="%1."/>
      <w:lvlJc w:val="left"/>
      <w:pPr>
        <w:tabs>
          <w:tab w:val="num" w:pos="417"/>
        </w:tabs>
        <w:ind w:left="5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4D56604"/>
    <w:multiLevelType w:val="singleLevel"/>
    <w:tmpl w:val="0C7C5F60"/>
    <w:lvl w:ilvl="0">
      <w:start w:val="2"/>
      <w:numFmt w:val="lowerLetter"/>
      <w:lvlText w:val="%1)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18" w15:restartNumberingAfterBreak="0">
    <w:nsid w:val="7882734E"/>
    <w:multiLevelType w:val="hybridMultilevel"/>
    <w:tmpl w:val="8A903056"/>
    <w:lvl w:ilvl="0" w:tplc="376E012C">
      <w:start w:val="1"/>
      <w:numFmt w:val="decimal"/>
      <w:lvlText w:val="%1"/>
      <w:legacy w:legacy="1" w:legacySpace="120" w:legacyIndent="360"/>
      <w:lvlJc w:val="left"/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sz w:val="20"/>
        </w:rPr>
      </w:lvl>
    </w:lvlOverride>
  </w:num>
  <w:num w:numId="2">
    <w:abstractNumId w:val="2"/>
  </w:num>
  <w:num w:numId="3">
    <w:abstractNumId w:val="0"/>
    <w:lvlOverride w:ilvl="0">
      <w:lvl w:ilvl="0"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sz w:val="20"/>
        </w:rPr>
      </w:lvl>
    </w:lvlOverride>
  </w:num>
  <w:num w:numId="4">
    <w:abstractNumId w:val="5"/>
  </w:num>
  <w:num w:numId="5">
    <w:abstractNumId w:val="11"/>
  </w:num>
  <w:num w:numId="6">
    <w:abstractNumId w:val="4"/>
  </w:num>
  <w:num w:numId="7">
    <w:abstractNumId w:val="0"/>
    <w:lvlOverride w:ilvl="0">
      <w:lvl w:ilvl="0">
        <w:start w:val="6"/>
        <w:numFmt w:val="bullet"/>
        <w:lvlText w:val="-"/>
        <w:legacy w:legacy="1" w:legacySpace="120" w:legacyIndent="360"/>
        <w:lvlJc w:val="left"/>
        <w:pPr>
          <w:ind w:left="1440" w:hanging="360"/>
        </w:pPr>
      </w:lvl>
    </w:lvlOverride>
  </w:num>
  <w:num w:numId="8">
    <w:abstractNumId w:val="12"/>
  </w:num>
  <w:num w:numId="9">
    <w:abstractNumId w:val="17"/>
  </w:num>
  <w:num w:numId="10">
    <w:abstractNumId w:val="9"/>
  </w:num>
  <w:num w:numId="11">
    <w:abstractNumId w:val="6"/>
  </w:num>
  <w:num w:numId="12">
    <w:abstractNumId w:val="16"/>
  </w:num>
  <w:num w:numId="13">
    <w:abstractNumId w:val="3"/>
  </w:num>
  <w:num w:numId="14">
    <w:abstractNumId w:val="1"/>
  </w:num>
  <w:num w:numId="15">
    <w:abstractNumId w:val="8"/>
  </w:num>
  <w:num w:numId="16">
    <w:abstractNumId w:val="10"/>
  </w:num>
  <w:num w:numId="17">
    <w:abstractNumId w:val="7"/>
  </w:num>
  <w:num w:numId="18">
    <w:abstractNumId w:val="15"/>
  </w:num>
  <w:num w:numId="19">
    <w:abstractNumId w:val="13"/>
  </w:num>
  <w:num w:numId="20">
    <w:abstractNumId w:val="14"/>
  </w:num>
  <w:num w:numId="21">
    <w:abstractNumId w:val="18"/>
  </w:num>
  <w:num w:numId="22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oNotHyphenateCaps/>
  <w:drawingGridHorizontalSpacing w:val="100"/>
  <w:drawingGridVerticalSpacing w:val="120"/>
  <w:displayHorizontalDrawingGridEvery w:val="2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0D33"/>
    <w:rsid w:val="0002018B"/>
    <w:rsid w:val="000430CE"/>
    <w:rsid w:val="000579DA"/>
    <w:rsid w:val="00110BD4"/>
    <w:rsid w:val="00166541"/>
    <w:rsid w:val="001B413D"/>
    <w:rsid w:val="001C3D3D"/>
    <w:rsid w:val="001D79E0"/>
    <w:rsid w:val="001F34C7"/>
    <w:rsid w:val="00203CE4"/>
    <w:rsid w:val="00225801"/>
    <w:rsid w:val="002357FC"/>
    <w:rsid w:val="0024273D"/>
    <w:rsid w:val="002C0C86"/>
    <w:rsid w:val="002E2FC3"/>
    <w:rsid w:val="002F663E"/>
    <w:rsid w:val="00362F82"/>
    <w:rsid w:val="004460EF"/>
    <w:rsid w:val="00465B55"/>
    <w:rsid w:val="0048344F"/>
    <w:rsid w:val="00497C4F"/>
    <w:rsid w:val="004A0445"/>
    <w:rsid w:val="004A6DE8"/>
    <w:rsid w:val="004C310C"/>
    <w:rsid w:val="0051273D"/>
    <w:rsid w:val="005A3A35"/>
    <w:rsid w:val="005D61CD"/>
    <w:rsid w:val="00622D12"/>
    <w:rsid w:val="00625F9B"/>
    <w:rsid w:val="006C7BE8"/>
    <w:rsid w:val="006F3CA9"/>
    <w:rsid w:val="00716707"/>
    <w:rsid w:val="00723A8D"/>
    <w:rsid w:val="00741590"/>
    <w:rsid w:val="00767CE0"/>
    <w:rsid w:val="0078655F"/>
    <w:rsid w:val="007A0D33"/>
    <w:rsid w:val="007C326A"/>
    <w:rsid w:val="007E544B"/>
    <w:rsid w:val="00805A32"/>
    <w:rsid w:val="00810DE3"/>
    <w:rsid w:val="00830FFE"/>
    <w:rsid w:val="008360F6"/>
    <w:rsid w:val="00837B82"/>
    <w:rsid w:val="00846FDA"/>
    <w:rsid w:val="008B3761"/>
    <w:rsid w:val="008B3A4B"/>
    <w:rsid w:val="00953390"/>
    <w:rsid w:val="00965302"/>
    <w:rsid w:val="009B00F3"/>
    <w:rsid w:val="009B5C09"/>
    <w:rsid w:val="009C2997"/>
    <w:rsid w:val="009F48F4"/>
    <w:rsid w:val="00A10982"/>
    <w:rsid w:val="00A562E4"/>
    <w:rsid w:val="00A6574F"/>
    <w:rsid w:val="00A734E8"/>
    <w:rsid w:val="00A74553"/>
    <w:rsid w:val="00A847A7"/>
    <w:rsid w:val="00AD346C"/>
    <w:rsid w:val="00B06340"/>
    <w:rsid w:val="00B317D9"/>
    <w:rsid w:val="00B50A36"/>
    <w:rsid w:val="00B57683"/>
    <w:rsid w:val="00B75BC2"/>
    <w:rsid w:val="00C066C9"/>
    <w:rsid w:val="00C52985"/>
    <w:rsid w:val="00C5455B"/>
    <w:rsid w:val="00C63CBF"/>
    <w:rsid w:val="00C8773B"/>
    <w:rsid w:val="00CB596B"/>
    <w:rsid w:val="00CD42CD"/>
    <w:rsid w:val="00CF6957"/>
    <w:rsid w:val="00D03926"/>
    <w:rsid w:val="00D2050A"/>
    <w:rsid w:val="00D23C33"/>
    <w:rsid w:val="00D96514"/>
    <w:rsid w:val="00DA0E0C"/>
    <w:rsid w:val="00DB4D4E"/>
    <w:rsid w:val="00DC26A1"/>
    <w:rsid w:val="00DC560B"/>
    <w:rsid w:val="00E11E06"/>
    <w:rsid w:val="00E20A33"/>
    <w:rsid w:val="00E5035B"/>
    <w:rsid w:val="00E666E2"/>
    <w:rsid w:val="00E950B9"/>
    <w:rsid w:val="00F04FAC"/>
    <w:rsid w:val="00F05D1A"/>
    <w:rsid w:val="00F13746"/>
    <w:rsid w:val="00F22908"/>
    <w:rsid w:val="00F33EE5"/>
    <w:rsid w:val="00F424AF"/>
    <w:rsid w:val="00F5449D"/>
    <w:rsid w:val="00F6282C"/>
    <w:rsid w:val="00F81EA0"/>
    <w:rsid w:val="00FA381B"/>
    <w:rsid w:val="00FB211A"/>
    <w:rsid w:val="00FD0242"/>
    <w:rsid w:val="00FF5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8D46C9F"/>
  <w15:docId w15:val="{EF740ECB-BB9B-4CCD-9087-3D5ED4877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tekst"/>
    <w:qFormat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uppressAutoHyphens/>
      <w:spacing w:before="120" w:after="120"/>
      <w:outlineLvl w:val="0"/>
    </w:pPr>
    <w:rPr>
      <w:b/>
      <w:caps/>
      <w:kern w:val="28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spacing w:before="120" w:after="120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before="60" w:after="60"/>
      <w:outlineLvl w:val="2"/>
    </w:p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12"/>
      </w:numPr>
      <w:spacing w:after="80"/>
      <w:jc w:val="center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E096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E096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E096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E096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Spistreci1">
    <w:name w:val="toc 1"/>
    <w:basedOn w:val="Normalny"/>
    <w:next w:val="Normalny"/>
    <w:uiPriority w:val="39"/>
    <w:semiHidden/>
    <w:pPr>
      <w:tabs>
        <w:tab w:val="right" w:leader="dot" w:pos="7371"/>
      </w:tabs>
      <w:spacing w:before="120" w:after="120"/>
      <w:jc w:val="left"/>
    </w:pPr>
    <w:rPr>
      <w:b/>
      <w:caps/>
    </w:rPr>
  </w:style>
  <w:style w:type="paragraph" w:styleId="Spistreci2">
    <w:name w:val="toc 2"/>
    <w:basedOn w:val="Normalny"/>
    <w:next w:val="Normalny"/>
    <w:uiPriority w:val="39"/>
    <w:semiHidden/>
    <w:pPr>
      <w:tabs>
        <w:tab w:val="right" w:leader="dot" w:pos="7371"/>
      </w:tabs>
      <w:ind w:left="200"/>
      <w:jc w:val="left"/>
    </w:pPr>
  </w:style>
  <w:style w:type="paragraph" w:styleId="Spistreci3">
    <w:name w:val="toc 3"/>
    <w:basedOn w:val="Normalny"/>
    <w:next w:val="Normalny"/>
    <w:uiPriority w:val="39"/>
    <w:semiHidden/>
    <w:pPr>
      <w:tabs>
        <w:tab w:val="right" w:leader="dot" w:pos="7371"/>
      </w:tabs>
      <w:ind w:left="400"/>
      <w:jc w:val="left"/>
    </w:pPr>
  </w:style>
  <w:style w:type="paragraph" w:styleId="Spistreci4">
    <w:name w:val="toc 4"/>
    <w:basedOn w:val="Normalny"/>
    <w:next w:val="Normalny"/>
    <w:uiPriority w:val="39"/>
    <w:semiHidden/>
    <w:pPr>
      <w:tabs>
        <w:tab w:val="right" w:leader="dot" w:pos="7371"/>
      </w:tabs>
      <w:ind w:left="600"/>
      <w:jc w:val="left"/>
    </w:pPr>
    <w:rPr>
      <w:sz w:val="18"/>
    </w:rPr>
  </w:style>
  <w:style w:type="paragraph" w:styleId="Spistreci5">
    <w:name w:val="toc 5"/>
    <w:basedOn w:val="Normalny"/>
    <w:next w:val="Normalny"/>
    <w:uiPriority w:val="39"/>
    <w:semiHidden/>
    <w:pPr>
      <w:tabs>
        <w:tab w:val="right" w:leader="dot" w:pos="7371"/>
      </w:tabs>
      <w:ind w:left="800"/>
      <w:jc w:val="left"/>
    </w:pPr>
    <w:rPr>
      <w:sz w:val="18"/>
    </w:rPr>
  </w:style>
  <w:style w:type="paragraph" w:styleId="Spistreci6">
    <w:name w:val="toc 6"/>
    <w:basedOn w:val="Normalny"/>
    <w:next w:val="Normalny"/>
    <w:uiPriority w:val="39"/>
    <w:semiHidden/>
    <w:pPr>
      <w:tabs>
        <w:tab w:val="right" w:leader="dot" w:pos="7371"/>
      </w:tabs>
      <w:ind w:left="1000"/>
      <w:jc w:val="left"/>
    </w:pPr>
    <w:rPr>
      <w:sz w:val="18"/>
    </w:rPr>
  </w:style>
  <w:style w:type="paragraph" w:styleId="Spistreci7">
    <w:name w:val="toc 7"/>
    <w:basedOn w:val="Normalny"/>
    <w:next w:val="Normalny"/>
    <w:uiPriority w:val="39"/>
    <w:semiHidden/>
    <w:pPr>
      <w:tabs>
        <w:tab w:val="right" w:leader="dot" w:pos="7371"/>
      </w:tabs>
      <w:ind w:left="1200"/>
      <w:jc w:val="left"/>
    </w:pPr>
    <w:rPr>
      <w:sz w:val="18"/>
    </w:rPr>
  </w:style>
  <w:style w:type="paragraph" w:styleId="Spistreci8">
    <w:name w:val="toc 8"/>
    <w:basedOn w:val="Normalny"/>
    <w:next w:val="Normalny"/>
    <w:uiPriority w:val="39"/>
    <w:semiHidden/>
    <w:pPr>
      <w:tabs>
        <w:tab w:val="right" w:leader="dot" w:pos="7371"/>
      </w:tabs>
      <w:ind w:left="1400"/>
      <w:jc w:val="left"/>
    </w:pPr>
    <w:rPr>
      <w:sz w:val="18"/>
    </w:rPr>
  </w:style>
  <w:style w:type="paragraph" w:styleId="Spistreci9">
    <w:name w:val="toc 9"/>
    <w:basedOn w:val="Normalny"/>
    <w:next w:val="Normalny"/>
    <w:uiPriority w:val="39"/>
    <w:semiHidden/>
    <w:pPr>
      <w:tabs>
        <w:tab w:val="right" w:leader="dot" w:pos="7371"/>
      </w:tabs>
      <w:ind w:left="1600"/>
      <w:jc w:val="left"/>
    </w:pPr>
    <w:rPr>
      <w:sz w:val="18"/>
    </w:rPr>
  </w:style>
  <w:style w:type="character" w:styleId="Numerstrony">
    <w:name w:val="page number"/>
    <w:basedOn w:val="Domylnaczcionkaakapitu"/>
    <w:uiPriority w:val="99"/>
    <w:rPr>
      <w:rFonts w:cs="Times New Roman"/>
    </w:rPr>
  </w:style>
  <w:style w:type="paragraph" w:customStyle="1" w:styleId="StylIwony">
    <w:name w:val="Styl Iwony"/>
    <w:basedOn w:val="Normalny"/>
    <w:pPr>
      <w:spacing w:before="120" w:after="120"/>
    </w:pPr>
    <w:rPr>
      <w:rFonts w:ascii="Bookman Old Style" w:hAnsi="Bookman Old Style"/>
      <w:sz w:val="24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  <w:jc w:val="left"/>
    </w:pPr>
    <w:rPr>
      <w:rFonts w:ascii="Century Gothic" w:hAnsi="Century Gothic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F424AF"/>
    <w:rPr>
      <w:rFonts w:ascii="Century Gothic" w:hAnsi="Century Gothic" w:cs="Times New Roman"/>
      <w:sz w:val="24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locked/>
    <w:rsid w:val="00F424AF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E0960"/>
  </w:style>
  <w:style w:type="paragraph" w:customStyle="1" w:styleId="tekstost">
    <w:name w:val="tekst ost"/>
    <w:basedOn w:val="Normalny"/>
  </w:style>
  <w:style w:type="character" w:styleId="Odwoanieprzypisudolnego">
    <w:name w:val="footnote reference"/>
    <w:basedOn w:val="Domylnaczcionkaakapitu"/>
    <w:uiPriority w:val="99"/>
    <w:semiHidden/>
    <w:rPr>
      <w:rFonts w:cs="Times New Roman"/>
      <w:vertAlign w:val="superscript"/>
    </w:rPr>
  </w:style>
  <w:style w:type="paragraph" w:customStyle="1" w:styleId="Standardowytekst">
    <w:name w:val="Standardowy.tekst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BodyText21">
    <w:name w:val="Body Text 21"/>
    <w:basedOn w:val="Normalny"/>
    <w:pPr>
      <w:ind w:left="708"/>
      <w:jc w:val="left"/>
    </w:pPr>
    <w:rPr>
      <w:rFonts w:ascii="Arial" w:hAnsi="Arial"/>
      <w:sz w:val="24"/>
    </w:rPr>
  </w:style>
  <w:style w:type="paragraph" w:customStyle="1" w:styleId="Rysunek">
    <w:name w:val="Rysunek"/>
    <w:basedOn w:val="Normalny"/>
    <w:next w:val="Tekstpodstawowy"/>
    <w:pPr>
      <w:keepLines/>
      <w:tabs>
        <w:tab w:val="left" w:pos="-720"/>
      </w:tabs>
      <w:suppressAutoHyphens/>
      <w:spacing w:before="260"/>
      <w:jc w:val="center"/>
    </w:pPr>
    <w:rPr>
      <w:b/>
      <w:noProof/>
      <w:sz w:val="24"/>
    </w:rPr>
  </w:style>
  <w:style w:type="paragraph" w:styleId="Tekstpodstawowy">
    <w:name w:val="Body Text"/>
    <w:basedOn w:val="Normalny"/>
    <w:link w:val="TekstpodstawowyZnak"/>
    <w:uiPriority w:val="9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0960"/>
  </w:style>
  <w:style w:type="paragraph" w:styleId="Tekstkomentarza">
    <w:name w:val="annotation text"/>
    <w:basedOn w:val="Normalny"/>
    <w:link w:val="TekstkomentarzaZnak"/>
    <w:uiPriority w:val="99"/>
    <w:semiHidden/>
    <w:pPr>
      <w:overflowPunct/>
      <w:autoSpaceDE/>
      <w:autoSpaceDN/>
      <w:adjustRightInd/>
      <w:spacing w:before="120"/>
      <w:textAlignment w:val="auto"/>
    </w:pPr>
    <w:rPr>
      <w:sz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0960"/>
  </w:style>
  <w:style w:type="paragraph" w:styleId="Tekstpodstawowywcity">
    <w:name w:val="Body Text Indent"/>
    <w:basedOn w:val="Normalny"/>
    <w:link w:val="TekstpodstawowywcityZnak"/>
    <w:uiPriority w:val="99"/>
    <w:pPr>
      <w:ind w:firstLine="709"/>
    </w:pPr>
    <w:rPr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E0960"/>
  </w:style>
  <w:style w:type="paragraph" w:styleId="Tekstpodstawowywcity2">
    <w:name w:val="Body Text Indent 2"/>
    <w:basedOn w:val="Normalny"/>
    <w:link w:val="Tekstpodstawowywcity2Znak"/>
    <w:uiPriority w:val="99"/>
    <w:pPr>
      <w:numPr>
        <w:ilvl w:val="12"/>
      </w:numPr>
      <w:ind w:left="851" w:hanging="851"/>
      <w:jc w:val="center"/>
    </w:pPr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E0960"/>
  </w:style>
  <w:style w:type="paragraph" w:styleId="Tekstpodstawowy2">
    <w:name w:val="Body Text 2"/>
    <w:basedOn w:val="Normalny"/>
    <w:link w:val="Tekstpodstawowy2Znak"/>
    <w:uiPriority w:val="99"/>
    <w:pPr>
      <w:overflowPunct/>
      <w:autoSpaceDE/>
      <w:autoSpaceDN/>
      <w:adjustRightInd/>
      <w:jc w:val="left"/>
      <w:textAlignment w:val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E0960"/>
  </w:style>
  <w:style w:type="paragraph" w:styleId="Tekstdymka">
    <w:name w:val="Balloon Text"/>
    <w:basedOn w:val="Normalny"/>
    <w:link w:val="TekstdymkaZnak"/>
    <w:uiPriority w:val="99"/>
    <w:rsid w:val="00F424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F424AF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625F9B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625F9B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Szablony\ost%209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ost 98</Template>
  <TotalTime>349</TotalTime>
  <Pages>5</Pages>
  <Words>2357</Words>
  <Characters>14142</Characters>
  <Application>Microsoft Office Word</Application>
  <DocSecurity>0</DocSecurity>
  <Lines>117</Lines>
  <Paragraphs>32</Paragraphs>
  <ScaleCrop>false</ScaleCrop>
  <Company>BZDBDiM Sp. z o.o.</Company>
  <LinksUpToDate>false</LinksUpToDate>
  <CharactersWithSpaces>16467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Oznakowanie poziome</dc:title>
  <dc:subject>ost</dc:subject>
  <dc:creator>BZDBDiM Sp. z o.o.</dc:creator>
  <cp:keywords>specyfikacje, drogi, drogownictwo, ost</cp:keywords>
  <dc:description>D-07.01.01</dc:description>
  <cp:lastModifiedBy>gok1</cp:lastModifiedBy>
  <cp:revision>15</cp:revision>
  <cp:lastPrinted>2016-04-05T09:36:00Z</cp:lastPrinted>
  <dcterms:created xsi:type="dcterms:W3CDTF">2012-03-21T21:19:00Z</dcterms:created>
  <dcterms:modified xsi:type="dcterms:W3CDTF">2018-03-21T12:35:00Z</dcterms:modified>
</cp:coreProperties>
</file>